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270489" w14:textId="19F6C8E1" w:rsidR="002B33E3" w:rsidRDefault="002B33E3" w:rsidP="00460C78">
      <w:pPr>
        <w:ind w:left="360"/>
        <w:jc w:val="center"/>
      </w:pPr>
      <w:r>
        <w:rPr>
          <w:noProof/>
        </w:rPr>
        <w:drawing>
          <wp:anchor distT="0" distB="0" distL="114300" distR="114300" simplePos="0" relativeHeight="251658240" behindDoc="0" locked="0" layoutInCell="1" allowOverlap="1" wp14:anchorId="08355BB8" wp14:editId="2B851F0E">
            <wp:simplePos x="0" y="0"/>
            <wp:positionH relativeFrom="margin">
              <wp:align>left</wp:align>
            </wp:positionH>
            <wp:positionV relativeFrom="paragraph">
              <wp:posOffset>-75537</wp:posOffset>
            </wp:positionV>
            <wp:extent cx="1520925" cy="551567"/>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925" cy="5515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ECA2F" w14:textId="17E3D1DD" w:rsidR="00737353" w:rsidRDefault="00737353" w:rsidP="00460C78">
      <w:pPr>
        <w:ind w:left="360"/>
        <w:jc w:val="center"/>
      </w:pPr>
    </w:p>
    <w:p w14:paraId="4EE215AF" w14:textId="591DA693" w:rsidR="00460C78" w:rsidRPr="002B33E3" w:rsidRDefault="00964EE7" w:rsidP="00460C78">
      <w:pPr>
        <w:ind w:left="360"/>
        <w:jc w:val="center"/>
        <w:rPr>
          <w:b/>
          <w:bCs/>
          <w:sz w:val="28"/>
          <w:szCs w:val="28"/>
        </w:rPr>
      </w:pPr>
      <w:r w:rsidRPr="002B33E3">
        <w:rPr>
          <w:b/>
          <w:bCs/>
          <w:sz w:val="28"/>
          <w:szCs w:val="28"/>
        </w:rPr>
        <w:t>7-Week Planning Guide to Take Ownership of the Infection Control Coordinator (ICC) Role</w:t>
      </w:r>
    </w:p>
    <w:tbl>
      <w:tblPr>
        <w:tblStyle w:val="TableGrid"/>
        <w:tblW w:w="14192" w:type="dxa"/>
        <w:jc w:val="center"/>
        <w:tblLook w:val="04A0" w:firstRow="1" w:lastRow="0" w:firstColumn="1" w:lastColumn="0" w:noHBand="0" w:noVBand="1"/>
      </w:tblPr>
      <w:tblGrid>
        <w:gridCol w:w="3499"/>
        <w:gridCol w:w="1296"/>
        <w:gridCol w:w="1320"/>
        <w:gridCol w:w="1260"/>
        <w:gridCol w:w="1350"/>
        <w:gridCol w:w="1260"/>
        <w:gridCol w:w="1170"/>
        <w:gridCol w:w="90"/>
        <w:gridCol w:w="1350"/>
        <w:gridCol w:w="1597"/>
      </w:tblGrid>
      <w:tr w:rsidR="002B0CE3" w:rsidRPr="00460C78" w14:paraId="48CA6D5B" w14:textId="562651A0" w:rsidTr="002B0CE3">
        <w:trPr>
          <w:trHeight w:val="398"/>
          <w:jc w:val="center"/>
        </w:trPr>
        <w:tc>
          <w:tcPr>
            <w:tcW w:w="3499" w:type="dxa"/>
          </w:tcPr>
          <w:p w14:paraId="4D11DC33" w14:textId="77777777" w:rsidR="002B0CE3" w:rsidRDefault="002B0CE3" w:rsidP="00FD688B">
            <w:r w:rsidRPr="00460C78">
              <w:t>Practice Name:</w:t>
            </w:r>
          </w:p>
          <w:p w14:paraId="2AB20E79" w14:textId="3AA46E4B" w:rsidR="002B0CE3" w:rsidRPr="00460C78" w:rsidRDefault="002B0CE3" w:rsidP="00FD688B"/>
        </w:tc>
        <w:tc>
          <w:tcPr>
            <w:tcW w:w="6486" w:type="dxa"/>
            <w:gridSpan w:val="5"/>
          </w:tcPr>
          <w:p w14:paraId="2C06BCA5" w14:textId="579A9DD1" w:rsidR="002B0CE3" w:rsidRPr="00460C78" w:rsidRDefault="002B0CE3" w:rsidP="00460C78">
            <w:pPr>
              <w:jc w:val="center"/>
            </w:pPr>
          </w:p>
        </w:tc>
        <w:tc>
          <w:tcPr>
            <w:tcW w:w="1170" w:type="dxa"/>
            <w:vMerge w:val="restart"/>
          </w:tcPr>
          <w:p w14:paraId="52C1880C" w14:textId="2E9BED74" w:rsidR="002B0CE3" w:rsidRPr="00460C78" w:rsidRDefault="002B0CE3" w:rsidP="00460C78">
            <w:pPr>
              <w:jc w:val="center"/>
            </w:pPr>
            <w:r w:rsidRPr="00460C78">
              <w:t>Year:</w:t>
            </w:r>
          </w:p>
        </w:tc>
        <w:tc>
          <w:tcPr>
            <w:tcW w:w="3037" w:type="dxa"/>
            <w:gridSpan w:val="3"/>
            <w:vMerge w:val="restart"/>
          </w:tcPr>
          <w:p w14:paraId="17163919" w14:textId="38584D58" w:rsidR="002B0CE3" w:rsidRPr="00460C78" w:rsidRDefault="002B0CE3" w:rsidP="00460C78">
            <w:pPr>
              <w:jc w:val="center"/>
            </w:pPr>
          </w:p>
        </w:tc>
      </w:tr>
      <w:tr w:rsidR="002B0CE3" w:rsidRPr="00460C78" w14:paraId="43873620" w14:textId="77777777" w:rsidTr="002B0CE3">
        <w:trPr>
          <w:trHeight w:val="398"/>
          <w:jc w:val="center"/>
        </w:trPr>
        <w:tc>
          <w:tcPr>
            <w:tcW w:w="3499" w:type="dxa"/>
          </w:tcPr>
          <w:p w14:paraId="00928BF6" w14:textId="512816C0" w:rsidR="002B0CE3" w:rsidRPr="00460C78" w:rsidRDefault="002B0CE3" w:rsidP="00FD688B">
            <w:r>
              <w:t xml:space="preserve">Future </w:t>
            </w:r>
            <w:r w:rsidRPr="00460C78">
              <w:t>Infection Control Coordinator Name:</w:t>
            </w:r>
          </w:p>
        </w:tc>
        <w:tc>
          <w:tcPr>
            <w:tcW w:w="6486" w:type="dxa"/>
            <w:gridSpan w:val="5"/>
          </w:tcPr>
          <w:p w14:paraId="2EEC5246" w14:textId="77777777" w:rsidR="002B0CE3" w:rsidRPr="00460C78" w:rsidRDefault="002B0CE3" w:rsidP="00460C78">
            <w:pPr>
              <w:jc w:val="center"/>
            </w:pPr>
          </w:p>
        </w:tc>
        <w:tc>
          <w:tcPr>
            <w:tcW w:w="1170" w:type="dxa"/>
            <w:vMerge/>
          </w:tcPr>
          <w:p w14:paraId="3B1D1BC3" w14:textId="77777777" w:rsidR="002B0CE3" w:rsidRPr="00460C78" w:rsidRDefault="002B0CE3" w:rsidP="00460C78">
            <w:pPr>
              <w:jc w:val="center"/>
            </w:pPr>
          </w:p>
        </w:tc>
        <w:tc>
          <w:tcPr>
            <w:tcW w:w="3037" w:type="dxa"/>
            <w:gridSpan w:val="3"/>
            <w:vMerge/>
          </w:tcPr>
          <w:p w14:paraId="66BEDF3E" w14:textId="77777777" w:rsidR="002B0CE3" w:rsidRPr="00460C78" w:rsidRDefault="002B0CE3" w:rsidP="00460C78">
            <w:pPr>
              <w:jc w:val="center"/>
            </w:pPr>
          </w:p>
        </w:tc>
      </w:tr>
      <w:tr w:rsidR="00162922" w:rsidRPr="00460C78" w14:paraId="1E5C959A" w14:textId="4A9942FB" w:rsidTr="002B0CE3">
        <w:trPr>
          <w:trHeight w:val="536"/>
          <w:jc w:val="center"/>
        </w:trPr>
        <w:tc>
          <w:tcPr>
            <w:tcW w:w="3499" w:type="dxa"/>
            <w:shd w:val="clear" w:color="auto" w:fill="D9D9D9" w:themeFill="background1" w:themeFillShade="D9"/>
          </w:tcPr>
          <w:p w14:paraId="6287EAE1" w14:textId="5A969FE0" w:rsidR="00162922" w:rsidRPr="00460C78" w:rsidRDefault="00162922" w:rsidP="00460C78">
            <w:pPr>
              <w:jc w:val="center"/>
              <w:rPr>
                <w:i/>
                <w:iCs/>
              </w:rPr>
            </w:pPr>
            <w:r w:rsidRPr="00460C78">
              <w:rPr>
                <w:i/>
                <w:iCs/>
              </w:rPr>
              <w:t>Write month to begin here &gt;</w:t>
            </w:r>
          </w:p>
        </w:tc>
        <w:tc>
          <w:tcPr>
            <w:tcW w:w="2616" w:type="dxa"/>
            <w:gridSpan w:val="2"/>
            <w:shd w:val="clear" w:color="auto" w:fill="D9D9D9" w:themeFill="background1" w:themeFillShade="D9"/>
          </w:tcPr>
          <w:p w14:paraId="684BD9EE" w14:textId="3728A24A" w:rsidR="00162922" w:rsidRPr="00460C78" w:rsidRDefault="00162922" w:rsidP="001553A4">
            <w:pPr>
              <w:jc w:val="center"/>
            </w:pPr>
            <w:r w:rsidRPr="00460C78">
              <w:t>Month 1</w:t>
            </w:r>
          </w:p>
        </w:tc>
        <w:tc>
          <w:tcPr>
            <w:tcW w:w="3870" w:type="dxa"/>
            <w:gridSpan w:val="3"/>
            <w:shd w:val="clear" w:color="auto" w:fill="D9D9D9" w:themeFill="background1" w:themeFillShade="D9"/>
          </w:tcPr>
          <w:p w14:paraId="7DFAECD5" w14:textId="67DE44AE" w:rsidR="00162922" w:rsidRPr="00460C78" w:rsidRDefault="00162922" w:rsidP="001553A4">
            <w:pPr>
              <w:jc w:val="center"/>
            </w:pPr>
            <w:r w:rsidRPr="00460C78">
              <w:t xml:space="preserve">Month </w:t>
            </w:r>
            <w:r>
              <w:t>2</w:t>
            </w:r>
          </w:p>
        </w:tc>
        <w:tc>
          <w:tcPr>
            <w:tcW w:w="4207" w:type="dxa"/>
            <w:gridSpan w:val="4"/>
            <w:shd w:val="clear" w:color="auto" w:fill="D9D9D9" w:themeFill="background1" w:themeFillShade="D9"/>
          </w:tcPr>
          <w:p w14:paraId="74AB7B49" w14:textId="091632D8" w:rsidR="00162922" w:rsidRPr="00460C78" w:rsidRDefault="00162922" w:rsidP="00AB5891">
            <w:pPr>
              <w:jc w:val="center"/>
            </w:pPr>
          </w:p>
        </w:tc>
      </w:tr>
      <w:tr w:rsidR="002B0CE3" w:rsidRPr="00460C78" w14:paraId="2830485B" w14:textId="77777777" w:rsidTr="002B0CE3">
        <w:trPr>
          <w:trHeight w:val="845"/>
          <w:jc w:val="center"/>
        </w:trPr>
        <w:tc>
          <w:tcPr>
            <w:tcW w:w="3499" w:type="dxa"/>
            <w:shd w:val="clear" w:color="auto" w:fill="D9D9D9" w:themeFill="background1" w:themeFillShade="D9"/>
          </w:tcPr>
          <w:p w14:paraId="2C8502F6" w14:textId="043B306A" w:rsidR="00162922" w:rsidRPr="00460C78" w:rsidRDefault="00162922" w:rsidP="00460C78">
            <w:pPr>
              <w:jc w:val="center"/>
              <w:rPr>
                <w:i/>
                <w:iCs/>
              </w:rPr>
            </w:pPr>
            <w:r>
              <w:rPr>
                <w:i/>
                <w:iCs/>
              </w:rPr>
              <w:t>Write “week of” date here &gt;</w:t>
            </w:r>
          </w:p>
        </w:tc>
        <w:tc>
          <w:tcPr>
            <w:tcW w:w="1296" w:type="dxa"/>
            <w:shd w:val="clear" w:color="auto" w:fill="D9D9D9" w:themeFill="background1" w:themeFillShade="D9"/>
          </w:tcPr>
          <w:p w14:paraId="05CF60A7" w14:textId="2E8CCD1D" w:rsidR="00162922" w:rsidRPr="00460C78" w:rsidRDefault="00162922" w:rsidP="00AB5891">
            <w:pPr>
              <w:jc w:val="center"/>
            </w:pPr>
            <w:r>
              <w:t>Week 1</w:t>
            </w:r>
          </w:p>
        </w:tc>
        <w:tc>
          <w:tcPr>
            <w:tcW w:w="1320" w:type="dxa"/>
            <w:shd w:val="clear" w:color="auto" w:fill="D9D9D9" w:themeFill="background1" w:themeFillShade="D9"/>
          </w:tcPr>
          <w:p w14:paraId="7FBB8C81" w14:textId="286A6E2E" w:rsidR="00162922" w:rsidRPr="00460C78" w:rsidRDefault="00162922" w:rsidP="00AB5891">
            <w:pPr>
              <w:jc w:val="center"/>
            </w:pPr>
            <w:r>
              <w:t>Week 2</w:t>
            </w:r>
          </w:p>
        </w:tc>
        <w:tc>
          <w:tcPr>
            <w:tcW w:w="1260" w:type="dxa"/>
            <w:shd w:val="clear" w:color="auto" w:fill="D9D9D9" w:themeFill="background1" w:themeFillShade="D9"/>
          </w:tcPr>
          <w:p w14:paraId="590A26A6" w14:textId="5F0AA302" w:rsidR="00162922" w:rsidRPr="00460C78" w:rsidRDefault="00162922" w:rsidP="00AB5891">
            <w:pPr>
              <w:jc w:val="center"/>
            </w:pPr>
            <w:r>
              <w:t>Week 3</w:t>
            </w:r>
          </w:p>
        </w:tc>
        <w:tc>
          <w:tcPr>
            <w:tcW w:w="1350" w:type="dxa"/>
            <w:shd w:val="clear" w:color="auto" w:fill="D9D9D9" w:themeFill="background1" w:themeFillShade="D9"/>
          </w:tcPr>
          <w:p w14:paraId="75799CD2" w14:textId="3ED61C6E" w:rsidR="00162922" w:rsidRPr="00460C78" w:rsidRDefault="00162922" w:rsidP="00AB5891">
            <w:pPr>
              <w:jc w:val="center"/>
            </w:pPr>
            <w:r>
              <w:t>Week 4</w:t>
            </w:r>
          </w:p>
        </w:tc>
        <w:tc>
          <w:tcPr>
            <w:tcW w:w="1260" w:type="dxa"/>
            <w:shd w:val="clear" w:color="auto" w:fill="D9D9D9" w:themeFill="background1" w:themeFillShade="D9"/>
          </w:tcPr>
          <w:p w14:paraId="7C48ECE5" w14:textId="177DA370" w:rsidR="00162922" w:rsidRPr="00460C78" w:rsidRDefault="00162922" w:rsidP="00AB5891">
            <w:pPr>
              <w:jc w:val="center"/>
            </w:pPr>
            <w:r>
              <w:t>Week 5</w:t>
            </w:r>
          </w:p>
        </w:tc>
        <w:tc>
          <w:tcPr>
            <w:tcW w:w="1260" w:type="dxa"/>
            <w:gridSpan w:val="2"/>
            <w:shd w:val="clear" w:color="auto" w:fill="D9D9D9" w:themeFill="background1" w:themeFillShade="D9"/>
          </w:tcPr>
          <w:p w14:paraId="14B50408" w14:textId="4CE430B3" w:rsidR="00162922" w:rsidRPr="00460C78" w:rsidRDefault="00162922" w:rsidP="00AB5891">
            <w:pPr>
              <w:jc w:val="center"/>
            </w:pPr>
            <w:r>
              <w:t>Week 6</w:t>
            </w:r>
          </w:p>
        </w:tc>
        <w:tc>
          <w:tcPr>
            <w:tcW w:w="1350" w:type="dxa"/>
            <w:shd w:val="clear" w:color="auto" w:fill="D9D9D9" w:themeFill="background1" w:themeFillShade="D9"/>
          </w:tcPr>
          <w:p w14:paraId="7F685DAD" w14:textId="13BC590F" w:rsidR="00162922" w:rsidRPr="00460C78" w:rsidRDefault="00162922" w:rsidP="00AB5891">
            <w:pPr>
              <w:jc w:val="center"/>
            </w:pPr>
            <w:r>
              <w:t>Week 7</w:t>
            </w:r>
          </w:p>
        </w:tc>
        <w:tc>
          <w:tcPr>
            <w:tcW w:w="1597" w:type="dxa"/>
            <w:shd w:val="clear" w:color="auto" w:fill="D9D9D9" w:themeFill="background1" w:themeFillShade="D9"/>
          </w:tcPr>
          <w:p w14:paraId="3C1FBA06" w14:textId="33A9379A" w:rsidR="00162922" w:rsidRDefault="002B0CE3" w:rsidP="00AB5891">
            <w:pPr>
              <w:jc w:val="center"/>
            </w:pPr>
            <w:r>
              <w:t>Task Completion Date</w:t>
            </w:r>
          </w:p>
        </w:tc>
      </w:tr>
      <w:tr w:rsidR="002B0CE3" w:rsidRPr="00460C78" w14:paraId="5F6B2FDA" w14:textId="71A59322" w:rsidTr="002B0CE3">
        <w:trPr>
          <w:trHeight w:val="584"/>
          <w:jc w:val="center"/>
        </w:trPr>
        <w:tc>
          <w:tcPr>
            <w:tcW w:w="3499" w:type="dxa"/>
          </w:tcPr>
          <w:p w14:paraId="4FDDFBDF" w14:textId="17547494" w:rsidR="00162922" w:rsidRPr="00460C78" w:rsidRDefault="00162922" w:rsidP="00460C78">
            <w:r>
              <w:t>Prepare a job description unique to your employment</w:t>
            </w:r>
          </w:p>
        </w:tc>
        <w:tc>
          <w:tcPr>
            <w:tcW w:w="1296" w:type="dxa"/>
            <w:vAlign w:val="center"/>
          </w:tcPr>
          <w:p w14:paraId="12147654" w14:textId="1C6B522C" w:rsidR="00162922" w:rsidRPr="00460C78" w:rsidRDefault="00162922" w:rsidP="00E6222C">
            <w:pPr>
              <w:jc w:val="center"/>
            </w:pPr>
            <w:r w:rsidRPr="00460C78">
              <w:rPr>
                <w:sz w:val="36"/>
                <w:szCs w:val="36"/>
              </w:rPr>
              <w:sym w:font="Wingdings" w:char="F0FE"/>
            </w:r>
          </w:p>
        </w:tc>
        <w:tc>
          <w:tcPr>
            <w:tcW w:w="1320" w:type="dxa"/>
            <w:vAlign w:val="center"/>
          </w:tcPr>
          <w:p w14:paraId="360C1F9A" w14:textId="64BDDE4E" w:rsidR="00162922" w:rsidRPr="00460C78" w:rsidRDefault="00162922" w:rsidP="00E6222C">
            <w:pPr>
              <w:jc w:val="center"/>
            </w:pPr>
            <w:r w:rsidRPr="00460C78">
              <w:rPr>
                <w:sz w:val="36"/>
                <w:szCs w:val="36"/>
              </w:rPr>
              <w:sym w:font="Wingdings" w:char="F0FE"/>
            </w:r>
          </w:p>
        </w:tc>
        <w:tc>
          <w:tcPr>
            <w:tcW w:w="1260" w:type="dxa"/>
            <w:vAlign w:val="center"/>
          </w:tcPr>
          <w:p w14:paraId="0A251B6F" w14:textId="77777777" w:rsidR="00162922" w:rsidRPr="00460C78" w:rsidRDefault="00162922" w:rsidP="00E6222C">
            <w:pPr>
              <w:jc w:val="center"/>
            </w:pPr>
          </w:p>
        </w:tc>
        <w:tc>
          <w:tcPr>
            <w:tcW w:w="1350" w:type="dxa"/>
            <w:vAlign w:val="center"/>
          </w:tcPr>
          <w:p w14:paraId="4C9A258C" w14:textId="77777777" w:rsidR="00162922" w:rsidRPr="00460C78" w:rsidRDefault="00162922" w:rsidP="00E6222C">
            <w:pPr>
              <w:jc w:val="center"/>
            </w:pPr>
          </w:p>
        </w:tc>
        <w:tc>
          <w:tcPr>
            <w:tcW w:w="1260" w:type="dxa"/>
            <w:vAlign w:val="center"/>
          </w:tcPr>
          <w:p w14:paraId="0CB9EDBE" w14:textId="77777777" w:rsidR="00162922" w:rsidRPr="00460C78" w:rsidRDefault="00162922" w:rsidP="00E6222C">
            <w:pPr>
              <w:jc w:val="center"/>
            </w:pPr>
          </w:p>
        </w:tc>
        <w:tc>
          <w:tcPr>
            <w:tcW w:w="1260" w:type="dxa"/>
            <w:gridSpan w:val="2"/>
            <w:vAlign w:val="center"/>
          </w:tcPr>
          <w:p w14:paraId="53E23DA1" w14:textId="77777777" w:rsidR="00162922" w:rsidRPr="00460C78" w:rsidRDefault="00162922" w:rsidP="00E6222C">
            <w:pPr>
              <w:jc w:val="center"/>
            </w:pPr>
          </w:p>
        </w:tc>
        <w:tc>
          <w:tcPr>
            <w:tcW w:w="1350" w:type="dxa"/>
            <w:vAlign w:val="center"/>
          </w:tcPr>
          <w:p w14:paraId="29633EC1" w14:textId="77777777" w:rsidR="00162922" w:rsidRPr="00460C78" w:rsidRDefault="00162922" w:rsidP="00E6222C">
            <w:pPr>
              <w:jc w:val="center"/>
            </w:pPr>
          </w:p>
        </w:tc>
        <w:tc>
          <w:tcPr>
            <w:tcW w:w="1597" w:type="dxa"/>
          </w:tcPr>
          <w:p w14:paraId="780A63AD" w14:textId="77777777" w:rsidR="00162922" w:rsidRPr="00460C78" w:rsidRDefault="00162922" w:rsidP="00460C78">
            <w:pPr>
              <w:jc w:val="center"/>
            </w:pPr>
          </w:p>
        </w:tc>
      </w:tr>
      <w:tr w:rsidR="002B0CE3" w:rsidRPr="00460C78" w14:paraId="0AF8CBA6" w14:textId="419EEC71" w:rsidTr="002B0CE3">
        <w:trPr>
          <w:trHeight w:val="536"/>
          <w:jc w:val="center"/>
        </w:trPr>
        <w:tc>
          <w:tcPr>
            <w:tcW w:w="3499" w:type="dxa"/>
          </w:tcPr>
          <w:p w14:paraId="5E0D3674" w14:textId="6D7AF0B3" w:rsidR="00162922" w:rsidRPr="00460C78" w:rsidRDefault="00162922" w:rsidP="00460C78">
            <w:r>
              <w:t>Prepare a list of how the ICC role benefits patients, practice, and staff</w:t>
            </w:r>
          </w:p>
        </w:tc>
        <w:tc>
          <w:tcPr>
            <w:tcW w:w="1296" w:type="dxa"/>
            <w:vAlign w:val="center"/>
          </w:tcPr>
          <w:p w14:paraId="3BEEDB54" w14:textId="77777777" w:rsidR="00162922" w:rsidRPr="00460C78" w:rsidRDefault="00162922" w:rsidP="00E6222C">
            <w:pPr>
              <w:jc w:val="center"/>
            </w:pPr>
          </w:p>
        </w:tc>
        <w:tc>
          <w:tcPr>
            <w:tcW w:w="1320" w:type="dxa"/>
            <w:vAlign w:val="center"/>
          </w:tcPr>
          <w:p w14:paraId="55610187" w14:textId="7C1CEA9D" w:rsidR="00162922" w:rsidRPr="00460C78" w:rsidRDefault="00162922" w:rsidP="00E6222C">
            <w:pPr>
              <w:jc w:val="center"/>
            </w:pPr>
            <w:r w:rsidRPr="00460C78">
              <w:rPr>
                <w:sz w:val="36"/>
                <w:szCs w:val="36"/>
              </w:rPr>
              <w:sym w:font="Wingdings" w:char="F0FE"/>
            </w:r>
          </w:p>
        </w:tc>
        <w:tc>
          <w:tcPr>
            <w:tcW w:w="1260" w:type="dxa"/>
            <w:vAlign w:val="center"/>
          </w:tcPr>
          <w:p w14:paraId="058473FC" w14:textId="66CE2926" w:rsidR="00162922" w:rsidRPr="00460C78" w:rsidRDefault="00162922" w:rsidP="00E6222C">
            <w:pPr>
              <w:jc w:val="center"/>
            </w:pPr>
            <w:r w:rsidRPr="00460C78">
              <w:rPr>
                <w:sz w:val="36"/>
                <w:szCs w:val="36"/>
              </w:rPr>
              <w:sym w:font="Wingdings" w:char="F0FE"/>
            </w:r>
          </w:p>
        </w:tc>
        <w:tc>
          <w:tcPr>
            <w:tcW w:w="1350" w:type="dxa"/>
            <w:vAlign w:val="center"/>
          </w:tcPr>
          <w:p w14:paraId="45623927" w14:textId="77777777" w:rsidR="00162922" w:rsidRPr="00460C78" w:rsidRDefault="00162922" w:rsidP="00E6222C">
            <w:pPr>
              <w:jc w:val="center"/>
            </w:pPr>
          </w:p>
        </w:tc>
        <w:tc>
          <w:tcPr>
            <w:tcW w:w="1260" w:type="dxa"/>
            <w:vAlign w:val="center"/>
          </w:tcPr>
          <w:p w14:paraId="3C5ACAB1" w14:textId="77777777" w:rsidR="00162922" w:rsidRPr="00460C78" w:rsidRDefault="00162922" w:rsidP="00E6222C">
            <w:pPr>
              <w:jc w:val="center"/>
            </w:pPr>
          </w:p>
        </w:tc>
        <w:tc>
          <w:tcPr>
            <w:tcW w:w="1260" w:type="dxa"/>
            <w:gridSpan w:val="2"/>
            <w:vAlign w:val="center"/>
          </w:tcPr>
          <w:p w14:paraId="021EC48B" w14:textId="77777777" w:rsidR="00162922" w:rsidRPr="00460C78" w:rsidRDefault="00162922" w:rsidP="00E6222C">
            <w:pPr>
              <w:jc w:val="center"/>
            </w:pPr>
          </w:p>
        </w:tc>
        <w:tc>
          <w:tcPr>
            <w:tcW w:w="1350" w:type="dxa"/>
            <w:vAlign w:val="center"/>
          </w:tcPr>
          <w:p w14:paraId="7166AC9C" w14:textId="77777777" w:rsidR="00162922" w:rsidRPr="00460C78" w:rsidRDefault="00162922" w:rsidP="00E6222C">
            <w:pPr>
              <w:jc w:val="center"/>
            </w:pPr>
          </w:p>
        </w:tc>
        <w:tc>
          <w:tcPr>
            <w:tcW w:w="1597" w:type="dxa"/>
          </w:tcPr>
          <w:p w14:paraId="08E189FD" w14:textId="77777777" w:rsidR="00162922" w:rsidRPr="00460C78" w:rsidRDefault="00162922" w:rsidP="00460C78">
            <w:pPr>
              <w:jc w:val="center"/>
            </w:pPr>
          </w:p>
        </w:tc>
      </w:tr>
      <w:tr w:rsidR="002B0CE3" w:rsidRPr="00460C78" w14:paraId="6A98DDD7" w14:textId="4F7767B5" w:rsidTr="002B0CE3">
        <w:trPr>
          <w:trHeight w:val="363"/>
          <w:jc w:val="center"/>
        </w:trPr>
        <w:tc>
          <w:tcPr>
            <w:tcW w:w="3499" w:type="dxa"/>
          </w:tcPr>
          <w:p w14:paraId="499AAE31" w14:textId="608BA0EF" w:rsidR="00162922" w:rsidRPr="00460C78" w:rsidRDefault="00162922" w:rsidP="00460C78">
            <w:r>
              <w:t>Prepare a list of initial IPC needs based upon observations</w:t>
            </w:r>
          </w:p>
        </w:tc>
        <w:tc>
          <w:tcPr>
            <w:tcW w:w="1296" w:type="dxa"/>
            <w:vAlign w:val="center"/>
          </w:tcPr>
          <w:p w14:paraId="4E1979C6" w14:textId="77777777" w:rsidR="00162922" w:rsidRPr="00460C78" w:rsidRDefault="00162922" w:rsidP="00E6222C">
            <w:pPr>
              <w:jc w:val="center"/>
            </w:pPr>
          </w:p>
        </w:tc>
        <w:tc>
          <w:tcPr>
            <w:tcW w:w="1320" w:type="dxa"/>
            <w:vAlign w:val="center"/>
          </w:tcPr>
          <w:p w14:paraId="426170F4" w14:textId="0286419D" w:rsidR="00162922" w:rsidRPr="00460C78" w:rsidRDefault="00162922" w:rsidP="00E6222C">
            <w:pPr>
              <w:jc w:val="center"/>
            </w:pPr>
            <w:r w:rsidRPr="00460C78">
              <w:rPr>
                <w:sz w:val="36"/>
                <w:szCs w:val="36"/>
              </w:rPr>
              <w:sym w:font="Wingdings" w:char="F0FE"/>
            </w:r>
          </w:p>
        </w:tc>
        <w:tc>
          <w:tcPr>
            <w:tcW w:w="1260" w:type="dxa"/>
            <w:vAlign w:val="center"/>
          </w:tcPr>
          <w:p w14:paraId="2F371A2E" w14:textId="0E0D8C4C" w:rsidR="00162922" w:rsidRPr="00460C78" w:rsidRDefault="00162922" w:rsidP="00E6222C">
            <w:pPr>
              <w:jc w:val="center"/>
            </w:pPr>
            <w:r w:rsidRPr="00460C78">
              <w:rPr>
                <w:sz w:val="36"/>
                <w:szCs w:val="36"/>
              </w:rPr>
              <w:sym w:font="Wingdings" w:char="F0FE"/>
            </w:r>
          </w:p>
        </w:tc>
        <w:tc>
          <w:tcPr>
            <w:tcW w:w="1350" w:type="dxa"/>
            <w:vAlign w:val="center"/>
          </w:tcPr>
          <w:p w14:paraId="6FF432DF" w14:textId="77777777" w:rsidR="00162922" w:rsidRPr="00460C78" w:rsidRDefault="00162922" w:rsidP="00E6222C">
            <w:pPr>
              <w:jc w:val="center"/>
            </w:pPr>
          </w:p>
        </w:tc>
        <w:tc>
          <w:tcPr>
            <w:tcW w:w="1260" w:type="dxa"/>
            <w:vAlign w:val="center"/>
          </w:tcPr>
          <w:p w14:paraId="59209744" w14:textId="77777777" w:rsidR="00162922" w:rsidRPr="00460C78" w:rsidRDefault="00162922" w:rsidP="00E6222C">
            <w:pPr>
              <w:jc w:val="center"/>
            </w:pPr>
          </w:p>
        </w:tc>
        <w:tc>
          <w:tcPr>
            <w:tcW w:w="1260" w:type="dxa"/>
            <w:gridSpan w:val="2"/>
            <w:vAlign w:val="center"/>
          </w:tcPr>
          <w:p w14:paraId="5257EC82" w14:textId="77777777" w:rsidR="00162922" w:rsidRPr="00460C78" w:rsidRDefault="00162922" w:rsidP="00E6222C">
            <w:pPr>
              <w:jc w:val="center"/>
            </w:pPr>
          </w:p>
        </w:tc>
        <w:tc>
          <w:tcPr>
            <w:tcW w:w="1350" w:type="dxa"/>
            <w:vAlign w:val="center"/>
          </w:tcPr>
          <w:p w14:paraId="12192B25" w14:textId="77777777" w:rsidR="00162922" w:rsidRPr="00460C78" w:rsidRDefault="00162922" w:rsidP="00E6222C">
            <w:pPr>
              <w:jc w:val="center"/>
            </w:pPr>
          </w:p>
        </w:tc>
        <w:tc>
          <w:tcPr>
            <w:tcW w:w="1597" w:type="dxa"/>
          </w:tcPr>
          <w:p w14:paraId="32D25875" w14:textId="77777777" w:rsidR="00162922" w:rsidRPr="00460C78" w:rsidRDefault="00162922" w:rsidP="00460C78">
            <w:pPr>
              <w:jc w:val="center"/>
            </w:pPr>
          </w:p>
        </w:tc>
      </w:tr>
      <w:tr w:rsidR="002B0CE3" w:rsidRPr="00460C78" w14:paraId="44B7F5DE" w14:textId="4A9841D7" w:rsidTr="002B0CE3">
        <w:trPr>
          <w:trHeight w:val="410"/>
          <w:jc w:val="center"/>
        </w:trPr>
        <w:tc>
          <w:tcPr>
            <w:tcW w:w="3499" w:type="dxa"/>
          </w:tcPr>
          <w:p w14:paraId="1EBFDF7F" w14:textId="7E28B769" w:rsidR="00162922" w:rsidRPr="00460C78" w:rsidRDefault="00162922" w:rsidP="00460C78">
            <w:r>
              <w:t>Propose the position of ICC and its benefits to employer – gain approval</w:t>
            </w:r>
          </w:p>
        </w:tc>
        <w:tc>
          <w:tcPr>
            <w:tcW w:w="1296" w:type="dxa"/>
            <w:vAlign w:val="center"/>
          </w:tcPr>
          <w:p w14:paraId="41EDD8FD" w14:textId="77777777" w:rsidR="00162922" w:rsidRPr="00460C78" w:rsidRDefault="00162922" w:rsidP="00E6222C">
            <w:pPr>
              <w:jc w:val="center"/>
            </w:pPr>
          </w:p>
        </w:tc>
        <w:tc>
          <w:tcPr>
            <w:tcW w:w="1320" w:type="dxa"/>
            <w:vAlign w:val="center"/>
          </w:tcPr>
          <w:p w14:paraId="5CAA312F" w14:textId="77777777" w:rsidR="00162922" w:rsidRPr="00460C78" w:rsidRDefault="00162922" w:rsidP="00E6222C">
            <w:pPr>
              <w:jc w:val="center"/>
            </w:pPr>
          </w:p>
        </w:tc>
        <w:tc>
          <w:tcPr>
            <w:tcW w:w="1260" w:type="dxa"/>
            <w:vAlign w:val="center"/>
          </w:tcPr>
          <w:p w14:paraId="082DB8A9" w14:textId="7ED5B605" w:rsidR="00162922" w:rsidRPr="00460C78" w:rsidRDefault="00162922" w:rsidP="00E6222C">
            <w:pPr>
              <w:jc w:val="center"/>
            </w:pPr>
          </w:p>
        </w:tc>
        <w:tc>
          <w:tcPr>
            <w:tcW w:w="1350" w:type="dxa"/>
            <w:vAlign w:val="center"/>
          </w:tcPr>
          <w:p w14:paraId="5D11E40A" w14:textId="67B4C9A3" w:rsidR="00162922" w:rsidRPr="00460C78" w:rsidRDefault="00E6222C" w:rsidP="00E6222C">
            <w:pPr>
              <w:jc w:val="center"/>
            </w:pPr>
            <w:r w:rsidRPr="00460C78">
              <w:rPr>
                <w:sz w:val="36"/>
                <w:szCs w:val="36"/>
              </w:rPr>
              <w:sym w:font="Wingdings" w:char="F0FE"/>
            </w:r>
          </w:p>
        </w:tc>
        <w:tc>
          <w:tcPr>
            <w:tcW w:w="1260" w:type="dxa"/>
            <w:vAlign w:val="center"/>
          </w:tcPr>
          <w:p w14:paraId="76C2B76B" w14:textId="77777777" w:rsidR="00162922" w:rsidRPr="00460C78" w:rsidRDefault="00162922" w:rsidP="00E6222C">
            <w:pPr>
              <w:jc w:val="center"/>
            </w:pPr>
          </w:p>
        </w:tc>
        <w:tc>
          <w:tcPr>
            <w:tcW w:w="1260" w:type="dxa"/>
            <w:gridSpan w:val="2"/>
            <w:vAlign w:val="center"/>
          </w:tcPr>
          <w:p w14:paraId="27036BF3" w14:textId="77777777" w:rsidR="00162922" w:rsidRPr="00460C78" w:rsidRDefault="00162922" w:rsidP="00E6222C">
            <w:pPr>
              <w:jc w:val="center"/>
            </w:pPr>
          </w:p>
        </w:tc>
        <w:tc>
          <w:tcPr>
            <w:tcW w:w="1350" w:type="dxa"/>
            <w:vAlign w:val="center"/>
          </w:tcPr>
          <w:p w14:paraId="4951084B" w14:textId="77777777" w:rsidR="00162922" w:rsidRPr="00460C78" w:rsidRDefault="00162922" w:rsidP="00E6222C">
            <w:pPr>
              <w:jc w:val="center"/>
            </w:pPr>
          </w:p>
        </w:tc>
        <w:tc>
          <w:tcPr>
            <w:tcW w:w="1597" w:type="dxa"/>
          </w:tcPr>
          <w:p w14:paraId="4E22BDEE" w14:textId="77777777" w:rsidR="00162922" w:rsidRPr="00460C78" w:rsidRDefault="00162922" w:rsidP="00460C78">
            <w:pPr>
              <w:jc w:val="center"/>
            </w:pPr>
          </w:p>
        </w:tc>
      </w:tr>
      <w:tr w:rsidR="002B0CE3" w:rsidRPr="00460C78" w14:paraId="63A9ADC0" w14:textId="129C5EE2" w:rsidTr="002B0CE3">
        <w:trPr>
          <w:trHeight w:val="608"/>
          <w:jc w:val="center"/>
        </w:trPr>
        <w:tc>
          <w:tcPr>
            <w:tcW w:w="3499" w:type="dxa"/>
          </w:tcPr>
          <w:p w14:paraId="6CA9F454" w14:textId="3C2D4A68" w:rsidR="00162922" w:rsidRPr="00460C78" w:rsidRDefault="00162922" w:rsidP="00460C78">
            <w:r>
              <w:t>Confirm with employer when to announce ICC position to staff</w:t>
            </w:r>
          </w:p>
        </w:tc>
        <w:tc>
          <w:tcPr>
            <w:tcW w:w="1296" w:type="dxa"/>
            <w:vAlign w:val="center"/>
          </w:tcPr>
          <w:p w14:paraId="4F0F2896" w14:textId="77777777" w:rsidR="00162922" w:rsidRPr="00460C78" w:rsidRDefault="00162922" w:rsidP="00E6222C">
            <w:pPr>
              <w:jc w:val="center"/>
            </w:pPr>
          </w:p>
        </w:tc>
        <w:tc>
          <w:tcPr>
            <w:tcW w:w="1320" w:type="dxa"/>
            <w:vAlign w:val="center"/>
          </w:tcPr>
          <w:p w14:paraId="1394D5E4" w14:textId="77777777" w:rsidR="00162922" w:rsidRPr="00460C78" w:rsidRDefault="00162922" w:rsidP="00E6222C">
            <w:pPr>
              <w:jc w:val="center"/>
            </w:pPr>
          </w:p>
        </w:tc>
        <w:tc>
          <w:tcPr>
            <w:tcW w:w="1260" w:type="dxa"/>
            <w:vAlign w:val="center"/>
          </w:tcPr>
          <w:p w14:paraId="4FDE45AC" w14:textId="77777777" w:rsidR="00162922" w:rsidRPr="00460C78" w:rsidRDefault="00162922" w:rsidP="00E6222C">
            <w:pPr>
              <w:jc w:val="center"/>
            </w:pPr>
          </w:p>
        </w:tc>
        <w:tc>
          <w:tcPr>
            <w:tcW w:w="1350" w:type="dxa"/>
            <w:vAlign w:val="center"/>
          </w:tcPr>
          <w:p w14:paraId="1D23BA04" w14:textId="132A341D" w:rsidR="00162922" w:rsidRPr="00460C78" w:rsidRDefault="00162922" w:rsidP="00E6222C">
            <w:pPr>
              <w:jc w:val="center"/>
            </w:pPr>
            <w:r w:rsidRPr="00460C78">
              <w:rPr>
                <w:sz w:val="36"/>
                <w:szCs w:val="36"/>
              </w:rPr>
              <w:sym w:font="Wingdings" w:char="F0FE"/>
            </w:r>
          </w:p>
        </w:tc>
        <w:tc>
          <w:tcPr>
            <w:tcW w:w="1260" w:type="dxa"/>
            <w:vAlign w:val="center"/>
          </w:tcPr>
          <w:p w14:paraId="749A095B" w14:textId="38CBEBE5" w:rsidR="00162922" w:rsidRPr="00460C78" w:rsidRDefault="00162922" w:rsidP="00E6222C">
            <w:pPr>
              <w:jc w:val="center"/>
            </w:pPr>
          </w:p>
        </w:tc>
        <w:tc>
          <w:tcPr>
            <w:tcW w:w="1260" w:type="dxa"/>
            <w:gridSpan w:val="2"/>
            <w:vAlign w:val="center"/>
          </w:tcPr>
          <w:p w14:paraId="5465E1D1" w14:textId="77777777" w:rsidR="00162922" w:rsidRPr="00460C78" w:rsidRDefault="00162922" w:rsidP="00E6222C">
            <w:pPr>
              <w:jc w:val="center"/>
            </w:pPr>
          </w:p>
        </w:tc>
        <w:tc>
          <w:tcPr>
            <w:tcW w:w="1350" w:type="dxa"/>
            <w:vAlign w:val="center"/>
          </w:tcPr>
          <w:p w14:paraId="6394EF35" w14:textId="02257115" w:rsidR="00162922" w:rsidRPr="00460C78" w:rsidRDefault="00162922" w:rsidP="00E6222C">
            <w:pPr>
              <w:jc w:val="center"/>
            </w:pPr>
          </w:p>
        </w:tc>
        <w:tc>
          <w:tcPr>
            <w:tcW w:w="1597" w:type="dxa"/>
          </w:tcPr>
          <w:p w14:paraId="13F0C212" w14:textId="77777777" w:rsidR="00162922" w:rsidRPr="00460C78" w:rsidRDefault="00162922" w:rsidP="00460C78">
            <w:pPr>
              <w:jc w:val="center"/>
              <w:rPr>
                <w:sz w:val="36"/>
                <w:szCs w:val="36"/>
              </w:rPr>
            </w:pPr>
          </w:p>
        </w:tc>
      </w:tr>
      <w:tr w:rsidR="002B0CE3" w:rsidRPr="00460C78" w14:paraId="49E29E20" w14:textId="1651E856" w:rsidTr="002B0CE3">
        <w:trPr>
          <w:trHeight w:val="181"/>
          <w:jc w:val="center"/>
        </w:trPr>
        <w:tc>
          <w:tcPr>
            <w:tcW w:w="3499" w:type="dxa"/>
          </w:tcPr>
          <w:p w14:paraId="431DD8DE" w14:textId="7BAC6B51" w:rsidR="00162922" w:rsidRPr="00460C78" w:rsidRDefault="00162922" w:rsidP="00460C78">
            <w:r>
              <w:t xml:space="preserve">Seek sources of IPC training: review CDC guidelines and OSHA standards and regulations </w:t>
            </w:r>
          </w:p>
        </w:tc>
        <w:tc>
          <w:tcPr>
            <w:tcW w:w="1296" w:type="dxa"/>
            <w:vAlign w:val="center"/>
          </w:tcPr>
          <w:p w14:paraId="6B158C98" w14:textId="77777777" w:rsidR="00162922" w:rsidRPr="00460C78" w:rsidRDefault="00162922" w:rsidP="00E6222C">
            <w:pPr>
              <w:jc w:val="center"/>
            </w:pPr>
          </w:p>
        </w:tc>
        <w:tc>
          <w:tcPr>
            <w:tcW w:w="1320" w:type="dxa"/>
            <w:vAlign w:val="center"/>
          </w:tcPr>
          <w:p w14:paraId="34BF9C27" w14:textId="77777777" w:rsidR="00162922" w:rsidRPr="00460C78" w:rsidRDefault="00162922" w:rsidP="00E6222C">
            <w:pPr>
              <w:jc w:val="center"/>
            </w:pPr>
          </w:p>
        </w:tc>
        <w:tc>
          <w:tcPr>
            <w:tcW w:w="1260" w:type="dxa"/>
            <w:vAlign w:val="center"/>
          </w:tcPr>
          <w:p w14:paraId="35D6649A" w14:textId="77777777" w:rsidR="00162922" w:rsidRPr="00460C78" w:rsidRDefault="00162922" w:rsidP="00E6222C">
            <w:pPr>
              <w:jc w:val="center"/>
            </w:pPr>
          </w:p>
        </w:tc>
        <w:tc>
          <w:tcPr>
            <w:tcW w:w="1350" w:type="dxa"/>
            <w:vAlign w:val="center"/>
          </w:tcPr>
          <w:p w14:paraId="7CDE3904" w14:textId="6649836F" w:rsidR="00162922" w:rsidRPr="00460C78" w:rsidRDefault="00162922" w:rsidP="00E6222C">
            <w:pPr>
              <w:jc w:val="center"/>
            </w:pPr>
            <w:r w:rsidRPr="00460C78">
              <w:rPr>
                <w:sz w:val="36"/>
                <w:szCs w:val="36"/>
              </w:rPr>
              <w:sym w:font="Wingdings" w:char="F0FE"/>
            </w:r>
          </w:p>
        </w:tc>
        <w:tc>
          <w:tcPr>
            <w:tcW w:w="1260" w:type="dxa"/>
            <w:vAlign w:val="center"/>
          </w:tcPr>
          <w:p w14:paraId="12B03390" w14:textId="38F7972E" w:rsidR="00162922" w:rsidRPr="00460C78" w:rsidRDefault="00E6222C" w:rsidP="00E6222C">
            <w:pPr>
              <w:jc w:val="center"/>
            </w:pPr>
            <w:r w:rsidRPr="00460C78">
              <w:rPr>
                <w:sz w:val="36"/>
                <w:szCs w:val="36"/>
              </w:rPr>
              <w:sym w:font="Wingdings" w:char="F0FE"/>
            </w:r>
          </w:p>
        </w:tc>
        <w:tc>
          <w:tcPr>
            <w:tcW w:w="1260" w:type="dxa"/>
            <w:gridSpan w:val="2"/>
            <w:vAlign w:val="center"/>
          </w:tcPr>
          <w:p w14:paraId="0CB6C4C0" w14:textId="77777777" w:rsidR="00162922" w:rsidRPr="00460C78" w:rsidRDefault="00162922" w:rsidP="00E6222C">
            <w:pPr>
              <w:jc w:val="center"/>
            </w:pPr>
          </w:p>
        </w:tc>
        <w:tc>
          <w:tcPr>
            <w:tcW w:w="1350" w:type="dxa"/>
            <w:vAlign w:val="center"/>
          </w:tcPr>
          <w:p w14:paraId="5AA6BE62" w14:textId="77777777" w:rsidR="00162922" w:rsidRPr="00460C78" w:rsidRDefault="00162922" w:rsidP="00E6222C">
            <w:pPr>
              <w:jc w:val="center"/>
            </w:pPr>
          </w:p>
        </w:tc>
        <w:tc>
          <w:tcPr>
            <w:tcW w:w="1597" w:type="dxa"/>
          </w:tcPr>
          <w:p w14:paraId="5F4ADCC5" w14:textId="77777777" w:rsidR="00162922" w:rsidRPr="00460C78" w:rsidRDefault="00162922" w:rsidP="00460C78">
            <w:pPr>
              <w:jc w:val="center"/>
            </w:pPr>
          </w:p>
        </w:tc>
      </w:tr>
      <w:tr w:rsidR="002B0CE3" w:rsidRPr="00460C78" w14:paraId="5CF43402" w14:textId="56044DE1" w:rsidTr="002B0CE3">
        <w:trPr>
          <w:trHeight w:val="536"/>
          <w:jc w:val="center"/>
        </w:trPr>
        <w:tc>
          <w:tcPr>
            <w:tcW w:w="3499" w:type="dxa"/>
          </w:tcPr>
          <w:p w14:paraId="462FFB4D" w14:textId="63426590" w:rsidR="00162922" w:rsidRPr="00460C78" w:rsidRDefault="00162922" w:rsidP="00460C78">
            <w:r>
              <w:t>Establish an IPC training plan, identify IPC assessment tools/checklists – confirm with employer</w:t>
            </w:r>
          </w:p>
        </w:tc>
        <w:tc>
          <w:tcPr>
            <w:tcW w:w="1296" w:type="dxa"/>
            <w:vAlign w:val="center"/>
          </w:tcPr>
          <w:p w14:paraId="39C885ED" w14:textId="77777777" w:rsidR="00162922" w:rsidRPr="00460C78" w:rsidRDefault="00162922" w:rsidP="00E6222C">
            <w:pPr>
              <w:jc w:val="center"/>
            </w:pPr>
          </w:p>
        </w:tc>
        <w:tc>
          <w:tcPr>
            <w:tcW w:w="1320" w:type="dxa"/>
            <w:vAlign w:val="center"/>
          </w:tcPr>
          <w:p w14:paraId="5CC69D7A" w14:textId="77777777" w:rsidR="00162922" w:rsidRPr="00460C78" w:rsidRDefault="00162922" w:rsidP="00E6222C">
            <w:pPr>
              <w:jc w:val="center"/>
            </w:pPr>
          </w:p>
        </w:tc>
        <w:tc>
          <w:tcPr>
            <w:tcW w:w="1260" w:type="dxa"/>
            <w:vAlign w:val="center"/>
          </w:tcPr>
          <w:p w14:paraId="4A943CFE" w14:textId="77777777" w:rsidR="00162922" w:rsidRPr="00460C78" w:rsidRDefault="00162922" w:rsidP="00E6222C">
            <w:pPr>
              <w:jc w:val="center"/>
            </w:pPr>
          </w:p>
        </w:tc>
        <w:tc>
          <w:tcPr>
            <w:tcW w:w="1350" w:type="dxa"/>
            <w:vAlign w:val="center"/>
          </w:tcPr>
          <w:p w14:paraId="33F4B6CA" w14:textId="43E4F7EF" w:rsidR="00162922" w:rsidRPr="00460C78" w:rsidRDefault="00162922" w:rsidP="00E6222C">
            <w:pPr>
              <w:jc w:val="center"/>
            </w:pPr>
            <w:r w:rsidRPr="00460C78">
              <w:rPr>
                <w:sz w:val="36"/>
                <w:szCs w:val="36"/>
              </w:rPr>
              <w:sym w:font="Wingdings" w:char="F0FE"/>
            </w:r>
          </w:p>
        </w:tc>
        <w:tc>
          <w:tcPr>
            <w:tcW w:w="1260" w:type="dxa"/>
            <w:vAlign w:val="center"/>
          </w:tcPr>
          <w:p w14:paraId="1C87ABA9" w14:textId="06A70212" w:rsidR="00162922" w:rsidRPr="00460C78" w:rsidRDefault="00E6222C" w:rsidP="00E6222C">
            <w:pPr>
              <w:jc w:val="center"/>
            </w:pPr>
            <w:r w:rsidRPr="00460C78">
              <w:rPr>
                <w:sz w:val="36"/>
                <w:szCs w:val="36"/>
              </w:rPr>
              <w:sym w:font="Wingdings" w:char="F0FE"/>
            </w:r>
          </w:p>
        </w:tc>
        <w:tc>
          <w:tcPr>
            <w:tcW w:w="1260" w:type="dxa"/>
            <w:gridSpan w:val="2"/>
            <w:vAlign w:val="center"/>
          </w:tcPr>
          <w:p w14:paraId="1BD143FE" w14:textId="5B892FB2" w:rsidR="00162922" w:rsidRPr="00460C78" w:rsidRDefault="00E6222C" w:rsidP="00E6222C">
            <w:pPr>
              <w:jc w:val="center"/>
            </w:pPr>
            <w:r w:rsidRPr="00460C78">
              <w:rPr>
                <w:sz w:val="36"/>
                <w:szCs w:val="36"/>
              </w:rPr>
              <w:sym w:font="Wingdings" w:char="F0FE"/>
            </w:r>
          </w:p>
        </w:tc>
        <w:tc>
          <w:tcPr>
            <w:tcW w:w="1350" w:type="dxa"/>
            <w:vAlign w:val="center"/>
          </w:tcPr>
          <w:p w14:paraId="462A39B2" w14:textId="77777777" w:rsidR="00162922" w:rsidRPr="00460C78" w:rsidRDefault="00162922" w:rsidP="00E6222C">
            <w:pPr>
              <w:jc w:val="center"/>
            </w:pPr>
          </w:p>
        </w:tc>
        <w:tc>
          <w:tcPr>
            <w:tcW w:w="1597" w:type="dxa"/>
          </w:tcPr>
          <w:p w14:paraId="7E2C822F" w14:textId="77777777" w:rsidR="00162922" w:rsidRPr="00460C78" w:rsidRDefault="00162922" w:rsidP="00460C78">
            <w:pPr>
              <w:jc w:val="center"/>
            </w:pPr>
          </w:p>
        </w:tc>
      </w:tr>
      <w:tr w:rsidR="002B0CE3" w:rsidRPr="00460C78" w14:paraId="488CBC88" w14:textId="0C8B2FED" w:rsidTr="002B0CE3">
        <w:trPr>
          <w:trHeight w:val="181"/>
          <w:jc w:val="center"/>
        </w:trPr>
        <w:tc>
          <w:tcPr>
            <w:tcW w:w="3499" w:type="dxa"/>
          </w:tcPr>
          <w:p w14:paraId="6814CB02" w14:textId="151B79EE" w:rsidR="00162922" w:rsidRPr="00460C78" w:rsidRDefault="00162922" w:rsidP="00460C78">
            <w:r>
              <w:t>Team meeting to commit to The Safest Dental Visit</w:t>
            </w:r>
            <w:r w:rsidRPr="00162922">
              <w:rPr>
                <w:vertAlign w:val="superscript"/>
              </w:rPr>
              <w:t>TM</w:t>
            </w:r>
            <w:r>
              <w:t xml:space="preserve"> Pledge</w:t>
            </w:r>
          </w:p>
        </w:tc>
        <w:tc>
          <w:tcPr>
            <w:tcW w:w="1296" w:type="dxa"/>
            <w:vAlign w:val="center"/>
          </w:tcPr>
          <w:p w14:paraId="00BCEF16" w14:textId="77777777" w:rsidR="00162922" w:rsidRPr="00460C78" w:rsidRDefault="00162922" w:rsidP="00E6222C">
            <w:pPr>
              <w:jc w:val="center"/>
            </w:pPr>
          </w:p>
        </w:tc>
        <w:tc>
          <w:tcPr>
            <w:tcW w:w="1320" w:type="dxa"/>
            <w:vAlign w:val="center"/>
          </w:tcPr>
          <w:p w14:paraId="6B2CCCEC" w14:textId="77777777" w:rsidR="00162922" w:rsidRPr="00460C78" w:rsidRDefault="00162922" w:rsidP="00E6222C">
            <w:pPr>
              <w:jc w:val="center"/>
            </w:pPr>
          </w:p>
        </w:tc>
        <w:tc>
          <w:tcPr>
            <w:tcW w:w="1260" w:type="dxa"/>
            <w:vAlign w:val="center"/>
          </w:tcPr>
          <w:p w14:paraId="30BE60D7" w14:textId="77777777" w:rsidR="00162922" w:rsidRPr="00460C78" w:rsidRDefault="00162922" w:rsidP="00E6222C">
            <w:pPr>
              <w:jc w:val="center"/>
            </w:pPr>
          </w:p>
        </w:tc>
        <w:tc>
          <w:tcPr>
            <w:tcW w:w="1350" w:type="dxa"/>
            <w:vAlign w:val="center"/>
          </w:tcPr>
          <w:p w14:paraId="1295D4BA" w14:textId="01C07A65" w:rsidR="00162922" w:rsidRPr="00460C78" w:rsidRDefault="00162922" w:rsidP="00E6222C">
            <w:pPr>
              <w:jc w:val="center"/>
            </w:pPr>
          </w:p>
        </w:tc>
        <w:tc>
          <w:tcPr>
            <w:tcW w:w="1260" w:type="dxa"/>
            <w:vAlign w:val="center"/>
          </w:tcPr>
          <w:p w14:paraId="5F77DC85" w14:textId="77777777" w:rsidR="00162922" w:rsidRPr="00460C78" w:rsidRDefault="00162922" w:rsidP="00E6222C">
            <w:pPr>
              <w:jc w:val="center"/>
            </w:pPr>
          </w:p>
        </w:tc>
        <w:tc>
          <w:tcPr>
            <w:tcW w:w="1260" w:type="dxa"/>
            <w:gridSpan w:val="2"/>
            <w:vAlign w:val="center"/>
          </w:tcPr>
          <w:p w14:paraId="1453D640" w14:textId="77777777" w:rsidR="00162922" w:rsidRPr="00460C78" w:rsidRDefault="00162922" w:rsidP="00E6222C">
            <w:pPr>
              <w:jc w:val="center"/>
            </w:pPr>
          </w:p>
        </w:tc>
        <w:tc>
          <w:tcPr>
            <w:tcW w:w="1350" w:type="dxa"/>
            <w:vAlign w:val="center"/>
          </w:tcPr>
          <w:p w14:paraId="6F4F195B" w14:textId="50242D43" w:rsidR="00162922" w:rsidRPr="00460C78" w:rsidRDefault="00E6222C" w:rsidP="00E6222C">
            <w:pPr>
              <w:jc w:val="center"/>
            </w:pPr>
            <w:r w:rsidRPr="00460C78">
              <w:rPr>
                <w:sz w:val="36"/>
                <w:szCs w:val="36"/>
              </w:rPr>
              <w:sym w:font="Wingdings" w:char="F0FE"/>
            </w:r>
          </w:p>
        </w:tc>
        <w:tc>
          <w:tcPr>
            <w:tcW w:w="1597" w:type="dxa"/>
          </w:tcPr>
          <w:p w14:paraId="52BA4B79" w14:textId="77777777" w:rsidR="00162922" w:rsidRPr="00460C78" w:rsidRDefault="00162922" w:rsidP="00460C78">
            <w:pPr>
              <w:jc w:val="center"/>
            </w:pPr>
          </w:p>
        </w:tc>
      </w:tr>
      <w:tr w:rsidR="002B0CE3" w:rsidRPr="00460C78" w14:paraId="22AB5007" w14:textId="4FEE3986" w:rsidTr="002B0CE3">
        <w:trPr>
          <w:trHeight w:val="353"/>
          <w:jc w:val="center"/>
        </w:trPr>
        <w:tc>
          <w:tcPr>
            <w:tcW w:w="3499" w:type="dxa"/>
          </w:tcPr>
          <w:p w14:paraId="109AA20B" w14:textId="7F28AA73" w:rsidR="00162922" w:rsidRPr="00460C78" w:rsidRDefault="00162922" w:rsidP="00460C78">
            <w:r>
              <w:t>Schedule a start date to begin IPC program assessment</w:t>
            </w:r>
          </w:p>
        </w:tc>
        <w:tc>
          <w:tcPr>
            <w:tcW w:w="1296" w:type="dxa"/>
            <w:vAlign w:val="center"/>
          </w:tcPr>
          <w:p w14:paraId="17473DAA" w14:textId="77777777" w:rsidR="00162922" w:rsidRPr="00460C78" w:rsidRDefault="00162922" w:rsidP="00E6222C">
            <w:pPr>
              <w:jc w:val="center"/>
            </w:pPr>
          </w:p>
        </w:tc>
        <w:tc>
          <w:tcPr>
            <w:tcW w:w="1320" w:type="dxa"/>
            <w:vAlign w:val="center"/>
          </w:tcPr>
          <w:p w14:paraId="2315690B" w14:textId="77777777" w:rsidR="00162922" w:rsidRPr="00460C78" w:rsidRDefault="00162922" w:rsidP="00E6222C">
            <w:pPr>
              <w:jc w:val="center"/>
            </w:pPr>
          </w:p>
        </w:tc>
        <w:tc>
          <w:tcPr>
            <w:tcW w:w="1260" w:type="dxa"/>
            <w:vAlign w:val="center"/>
          </w:tcPr>
          <w:p w14:paraId="076B8D03" w14:textId="77777777" w:rsidR="00162922" w:rsidRPr="00460C78" w:rsidRDefault="00162922" w:rsidP="00E6222C">
            <w:pPr>
              <w:jc w:val="center"/>
            </w:pPr>
          </w:p>
        </w:tc>
        <w:tc>
          <w:tcPr>
            <w:tcW w:w="1350" w:type="dxa"/>
            <w:vAlign w:val="center"/>
          </w:tcPr>
          <w:p w14:paraId="440D608A" w14:textId="77777777" w:rsidR="00162922" w:rsidRPr="00460C78" w:rsidRDefault="00162922" w:rsidP="00E6222C">
            <w:pPr>
              <w:jc w:val="center"/>
            </w:pPr>
          </w:p>
        </w:tc>
        <w:tc>
          <w:tcPr>
            <w:tcW w:w="1260" w:type="dxa"/>
            <w:vAlign w:val="center"/>
          </w:tcPr>
          <w:p w14:paraId="5FA5034C" w14:textId="57319B48" w:rsidR="00162922" w:rsidRPr="00460C78" w:rsidRDefault="00162922" w:rsidP="00E6222C">
            <w:pPr>
              <w:jc w:val="center"/>
            </w:pPr>
          </w:p>
        </w:tc>
        <w:tc>
          <w:tcPr>
            <w:tcW w:w="1260" w:type="dxa"/>
            <w:gridSpan w:val="2"/>
            <w:vAlign w:val="center"/>
          </w:tcPr>
          <w:p w14:paraId="587C7411" w14:textId="3C83F217" w:rsidR="00162922" w:rsidRPr="00460C78" w:rsidRDefault="00162922" w:rsidP="00E6222C">
            <w:pPr>
              <w:jc w:val="center"/>
            </w:pPr>
          </w:p>
        </w:tc>
        <w:tc>
          <w:tcPr>
            <w:tcW w:w="1350" w:type="dxa"/>
            <w:vAlign w:val="center"/>
          </w:tcPr>
          <w:p w14:paraId="397D9AE0" w14:textId="11FCE385" w:rsidR="00162922" w:rsidRPr="00460C78" w:rsidRDefault="00E6222C" w:rsidP="00E6222C">
            <w:pPr>
              <w:jc w:val="center"/>
            </w:pPr>
            <w:r w:rsidRPr="00460C78">
              <w:rPr>
                <w:sz w:val="36"/>
                <w:szCs w:val="36"/>
              </w:rPr>
              <w:sym w:font="Wingdings" w:char="F0FE"/>
            </w:r>
          </w:p>
        </w:tc>
        <w:tc>
          <w:tcPr>
            <w:tcW w:w="1597" w:type="dxa"/>
          </w:tcPr>
          <w:p w14:paraId="012197FC" w14:textId="77777777" w:rsidR="00162922" w:rsidRPr="00460C78" w:rsidRDefault="00162922" w:rsidP="00460C78">
            <w:pPr>
              <w:jc w:val="center"/>
            </w:pPr>
          </w:p>
        </w:tc>
      </w:tr>
    </w:tbl>
    <w:p w14:paraId="590B8573" w14:textId="5D1D576C" w:rsidR="00460C78" w:rsidRDefault="00460C78" w:rsidP="00460C78"/>
    <w:p w14:paraId="4B46884A" w14:textId="77777777" w:rsidR="00900751" w:rsidRDefault="00900751" w:rsidP="00460C78">
      <w:pPr>
        <w:sectPr w:rsidR="00900751" w:rsidSect="00162922">
          <w:footerReference w:type="default" r:id="rId9"/>
          <w:pgSz w:w="15840" w:h="12240" w:orient="landscape" w:code="1"/>
          <w:pgMar w:top="720" w:right="720" w:bottom="720" w:left="720" w:header="720" w:footer="720" w:gutter="0"/>
          <w:cols w:space="720"/>
          <w:docGrid w:linePitch="360"/>
        </w:sectPr>
      </w:pPr>
    </w:p>
    <w:p w14:paraId="56EDEC90" w14:textId="37299B09" w:rsidR="00900751" w:rsidRPr="00900751" w:rsidRDefault="00900751" w:rsidP="00900751">
      <w:pPr>
        <w:jc w:val="center"/>
        <w:rPr>
          <w:b/>
          <w:bCs/>
          <w:sz w:val="28"/>
          <w:szCs w:val="28"/>
        </w:rPr>
      </w:pPr>
      <w:r w:rsidRPr="00900751">
        <w:rPr>
          <w:b/>
          <w:bCs/>
          <w:sz w:val="28"/>
          <w:szCs w:val="28"/>
        </w:rPr>
        <w:lastRenderedPageBreak/>
        <w:t>Some Duties of the Infection Control Coordinator</w:t>
      </w:r>
    </w:p>
    <w:p w14:paraId="0BEFDA14" w14:textId="77777777" w:rsidR="00666A4A" w:rsidRDefault="00900751" w:rsidP="00157969">
      <w:pPr>
        <w:rPr>
          <w:b/>
          <w:bCs/>
        </w:rPr>
      </w:pPr>
      <w:r w:rsidRPr="00900751">
        <w:rPr>
          <w:b/>
          <w:bCs/>
        </w:rPr>
        <w:t>Maintain Appropriate Regulatory and Guidance Documents</w:t>
      </w:r>
    </w:p>
    <w:p w14:paraId="1130E7EC" w14:textId="13D7F53A" w:rsidR="00157969" w:rsidRPr="00666A4A" w:rsidRDefault="00157969" w:rsidP="00666A4A">
      <w:pPr>
        <w:pStyle w:val="ListParagraph"/>
        <w:numPr>
          <w:ilvl w:val="0"/>
          <w:numId w:val="5"/>
        </w:numPr>
        <w:rPr>
          <w:b/>
          <w:bCs/>
        </w:rPr>
      </w:pPr>
      <w:r w:rsidRPr="00157969">
        <w:t>OSHA 29 CFR Standards:</w:t>
      </w:r>
    </w:p>
    <w:tbl>
      <w:tblPr>
        <w:tblStyle w:val="TableGrid"/>
        <w:tblW w:w="0" w:type="auto"/>
        <w:tblLook w:val="04A0" w:firstRow="1" w:lastRow="0" w:firstColumn="1" w:lastColumn="0" w:noHBand="0" w:noVBand="1"/>
      </w:tblPr>
      <w:tblGrid>
        <w:gridCol w:w="5395"/>
        <w:gridCol w:w="5395"/>
      </w:tblGrid>
      <w:tr w:rsidR="00157969" w14:paraId="126248AF" w14:textId="77777777" w:rsidTr="00157969">
        <w:tc>
          <w:tcPr>
            <w:tcW w:w="5395" w:type="dxa"/>
          </w:tcPr>
          <w:p w14:paraId="24DFC931" w14:textId="0E91C836" w:rsidR="00157969" w:rsidRDefault="00157969" w:rsidP="00157969">
            <w:r w:rsidRPr="00157969">
              <w:t>Bloodborne Pathogens (1910.1030)</w:t>
            </w:r>
          </w:p>
        </w:tc>
        <w:tc>
          <w:tcPr>
            <w:tcW w:w="5395" w:type="dxa"/>
          </w:tcPr>
          <w:p w14:paraId="3836337E" w14:textId="136DD35F" w:rsidR="00157969" w:rsidRDefault="00157969" w:rsidP="00157969">
            <w:r w:rsidRPr="00157969">
              <w:t>Eye and Face Protection (1910.133)</w:t>
            </w:r>
            <w:r w:rsidR="00666A4A" w:rsidRPr="00666A4A">
              <w:rPr>
                <w:vertAlign w:val="superscript"/>
              </w:rPr>
              <w:t xml:space="preserve"> </w:t>
            </w:r>
          </w:p>
        </w:tc>
      </w:tr>
      <w:tr w:rsidR="00157969" w14:paraId="44AF9117" w14:textId="77777777" w:rsidTr="00157969">
        <w:tc>
          <w:tcPr>
            <w:tcW w:w="5395" w:type="dxa"/>
          </w:tcPr>
          <w:p w14:paraId="5F8B283B" w14:textId="5F7E6266" w:rsidR="00157969" w:rsidRDefault="00157969" w:rsidP="00157969">
            <w:r w:rsidRPr="00157969">
              <w:t>Hazard Communication</w:t>
            </w:r>
          </w:p>
        </w:tc>
        <w:tc>
          <w:tcPr>
            <w:tcW w:w="5395" w:type="dxa"/>
          </w:tcPr>
          <w:p w14:paraId="78934449" w14:textId="7752A7B2" w:rsidR="00157969" w:rsidRDefault="00157969" w:rsidP="00157969">
            <w:r w:rsidRPr="00157969">
              <w:t>Personal Protective Equipment (general requirements)</w:t>
            </w:r>
            <w:r w:rsidR="00C2255E">
              <w:t xml:space="preserve"> </w:t>
            </w:r>
            <w:r w:rsidRPr="00157969">
              <w:t>(1910.132)</w:t>
            </w:r>
            <w:r w:rsidR="00666A4A" w:rsidRPr="00666A4A">
              <w:rPr>
                <w:vertAlign w:val="superscript"/>
              </w:rPr>
              <w:t xml:space="preserve"> </w:t>
            </w:r>
          </w:p>
        </w:tc>
      </w:tr>
      <w:tr w:rsidR="00157969" w14:paraId="64F34FFA" w14:textId="77777777" w:rsidTr="00157969">
        <w:tc>
          <w:tcPr>
            <w:tcW w:w="5395" w:type="dxa"/>
          </w:tcPr>
          <w:p w14:paraId="1E5E00D7" w14:textId="595B22B0" w:rsidR="00157969" w:rsidRDefault="00157969" w:rsidP="00157969">
            <w:r w:rsidRPr="00157969">
              <w:t>Electrical (1910 Subpart S)</w:t>
            </w:r>
          </w:p>
        </w:tc>
        <w:tc>
          <w:tcPr>
            <w:tcW w:w="5395" w:type="dxa"/>
          </w:tcPr>
          <w:p w14:paraId="1752F7A6" w14:textId="38F83CBE" w:rsidR="00157969" w:rsidRDefault="00157969" w:rsidP="00157969">
            <w:r w:rsidRPr="00157969">
              <w:t>Walking-Working (1910 Subpart D)</w:t>
            </w:r>
            <w:r w:rsidR="00666A4A" w:rsidRPr="00666A4A">
              <w:rPr>
                <w:vertAlign w:val="superscript"/>
              </w:rPr>
              <w:t xml:space="preserve"> </w:t>
            </w:r>
          </w:p>
        </w:tc>
      </w:tr>
      <w:tr w:rsidR="00157969" w14:paraId="681708C0" w14:textId="77777777" w:rsidTr="00157969">
        <w:tc>
          <w:tcPr>
            <w:tcW w:w="5395" w:type="dxa"/>
          </w:tcPr>
          <w:p w14:paraId="65501E42" w14:textId="184EB160" w:rsidR="00157969" w:rsidRDefault="00157969" w:rsidP="00157969">
            <w:r w:rsidRPr="00157969">
              <w:t>First Aid (1910.151)</w:t>
            </w:r>
          </w:p>
        </w:tc>
        <w:tc>
          <w:tcPr>
            <w:tcW w:w="5395" w:type="dxa"/>
          </w:tcPr>
          <w:p w14:paraId="4DA5AE28" w14:textId="263F2037" w:rsidR="00157969" w:rsidRDefault="00157969" w:rsidP="00157969">
            <w:r w:rsidRPr="00157969">
              <w:t>Ionizing Radiation (1910.1096)</w:t>
            </w:r>
            <w:r w:rsidR="00666A4A" w:rsidRPr="00666A4A">
              <w:rPr>
                <w:vertAlign w:val="superscript"/>
              </w:rPr>
              <w:t xml:space="preserve"> </w:t>
            </w:r>
          </w:p>
        </w:tc>
      </w:tr>
      <w:tr w:rsidR="00157969" w14:paraId="36CC3C40" w14:textId="77777777" w:rsidTr="00157969">
        <w:tc>
          <w:tcPr>
            <w:tcW w:w="5395" w:type="dxa"/>
          </w:tcPr>
          <w:p w14:paraId="56B78DE2" w14:textId="6AEE5694" w:rsidR="00157969" w:rsidRDefault="00157969" w:rsidP="00157969">
            <w:r w:rsidRPr="00157969">
              <w:t>Emergency Action Plans (1910.38)</w:t>
            </w:r>
          </w:p>
        </w:tc>
        <w:tc>
          <w:tcPr>
            <w:tcW w:w="5395" w:type="dxa"/>
          </w:tcPr>
          <w:p w14:paraId="5ACAF2AA" w14:textId="6D0A2190" w:rsidR="00157969" w:rsidRDefault="00157969" w:rsidP="00157969">
            <w:r w:rsidRPr="00157969">
              <w:t>Maintenance, Safeguards, and Operational Features for Exit Routes (1910.37)</w:t>
            </w:r>
            <w:r w:rsidR="00666A4A" w:rsidRPr="00666A4A">
              <w:rPr>
                <w:vertAlign w:val="superscript"/>
              </w:rPr>
              <w:t xml:space="preserve"> </w:t>
            </w:r>
          </w:p>
        </w:tc>
      </w:tr>
      <w:tr w:rsidR="00157969" w14:paraId="2E0753F1" w14:textId="77777777" w:rsidTr="00157969">
        <w:tc>
          <w:tcPr>
            <w:tcW w:w="5395" w:type="dxa"/>
          </w:tcPr>
          <w:p w14:paraId="54302A95" w14:textId="547C53EA" w:rsidR="00157969" w:rsidRDefault="00157969" w:rsidP="00157969">
            <w:r w:rsidRPr="00157969">
              <w:t>Sanitation (1910.141)</w:t>
            </w:r>
          </w:p>
        </w:tc>
        <w:tc>
          <w:tcPr>
            <w:tcW w:w="5395" w:type="dxa"/>
          </w:tcPr>
          <w:p w14:paraId="56DE6CF8" w14:textId="7D59FE7A" w:rsidR="00157969" w:rsidRDefault="00157969" w:rsidP="00157969">
            <w:r w:rsidRPr="00157969">
              <w:t>Compliance with Alternate Exit Routes (1910.35)</w:t>
            </w:r>
            <w:r w:rsidR="00666A4A" w:rsidRPr="00666A4A">
              <w:rPr>
                <w:vertAlign w:val="superscript"/>
              </w:rPr>
              <w:t xml:space="preserve"> </w:t>
            </w:r>
          </w:p>
        </w:tc>
      </w:tr>
      <w:tr w:rsidR="00157969" w14:paraId="3CD8D968" w14:textId="77777777" w:rsidTr="00157969">
        <w:tc>
          <w:tcPr>
            <w:tcW w:w="5395" w:type="dxa"/>
          </w:tcPr>
          <w:p w14:paraId="6A2C02F7" w14:textId="08395A24" w:rsidR="00157969" w:rsidRDefault="00157969" w:rsidP="00157969">
            <w:r w:rsidRPr="00157969">
              <w:t>Design and Construction Requirements for Exit Routes (1910.36)</w:t>
            </w:r>
            <w:r w:rsidR="00666A4A" w:rsidRPr="00666A4A">
              <w:rPr>
                <w:vertAlign w:val="superscript"/>
              </w:rPr>
              <w:t xml:space="preserve"> </w:t>
            </w:r>
          </w:p>
        </w:tc>
        <w:tc>
          <w:tcPr>
            <w:tcW w:w="5395" w:type="dxa"/>
          </w:tcPr>
          <w:p w14:paraId="357AA356" w14:textId="3D53B4EE" w:rsidR="00157969" w:rsidRDefault="00157969" w:rsidP="00157969">
            <w:r w:rsidRPr="00157969">
              <w:t>Fire Prevention Plans and Fire Safety (1910.39 and Subpart L</w:t>
            </w:r>
            <w:r w:rsidR="00666A4A">
              <w:t>)</w:t>
            </w:r>
          </w:p>
        </w:tc>
      </w:tr>
      <w:tr w:rsidR="00157969" w14:paraId="1849DFD4" w14:textId="77777777" w:rsidTr="00157969">
        <w:tc>
          <w:tcPr>
            <w:tcW w:w="5395" w:type="dxa"/>
          </w:tcPr>
          <w:p w14:paraId="66194957" w14:textId="1B43CF21" w:rsidR="00157969" w:rsidRDefault="00157969" w:rsidP="00157969">
            <w:r w:rsidRPr="00157969">
              <w:t>Compressed Gas (general requirements) (1910.101)</w:t>
            </w:r>
            <w:r w:rsidR="00666A4A" w:rsidRPr="00666A4A">
              <w:rPr>
                <w:vertAlign w:val="superscript"/>
              </w:rPr>
              <w:t xml:space="preserve"> </w:t>
            </w:r>
          </w:p>
        </w:tc>
        <w:tc>
          <w:tcPr>
            <w:tcW w:w="5395" w:type="dxa"/>
          </w:tcPr>
          <w:p w14:paraId="731F7149" w14:textId="77777777" w:rsidR="00157969" w:rsidRDefault="00157969" w:rsidP="00157969"/>
        </w:tc>
      </w:tr>
    </w:tbl>
    <w:p w14:paraId="5BA6D6D5" w14:textId="77777777" w:rsidR="00666A4A" w:rsidRDefault="00666A4A" w:rsidP="00C2255E">
      <w:pPr>
        <w:pStyle w:val="NoSpacing"/>
      </w:pPr>
    </w:p>
    <w:p w14:paraId="64E749BE" w14:textId="1CD2D692" w:rsidR="00666A4A" w:rsidRDefault="00666A4A" w:rsidP="00666A4A">
      <w:pPr>
        <w:pStyle w:val="ListParagraph"/>
        <w:numPr>
          <w:ilvl w:val="0"/>
          <w:numId w:val="3"/>
        </w:numPr>
      </w:pPr>
      <w:r>
        <w:t>OSHA’s “Job Safety and Health, It’s the Law”</w:t>
      </w:r>
      <w:r w:rsidR="00E6738C">
        <w:t xml:space="preserve"> </w:t>
      </w:r>
      <w:r>
        <w:t>poster #3165 (required to be posted in the facility)</w:t>
      </w:r>
    </w:p>
    <w:p w14:paraId="0EA96248" w14:textId="22B88BAB" w:rsidR="00666A4A" w:rsidRDefault="00666A4A" w:rsidP="00666A4A">
      <w:pPr>
        <w:pStyle w:val="ListParagraph"/>
        <w:numPr>
          <w:ilvl w:val="0"/>
          <w:numId w:val="3"/>
        </w:numPr>
      </w:pPr>
      <w:r>
        <w:t>CDC’s Guidelines for Infection Control in Dental Healthcare Settings – 2003</w:t>
      </w:r>
    </w:p>
    <w:p w14:paraId="6A2C0E33" w14:textId="76ADB71A" w:rsidR="00900751" w:rsidRDefault="00666A4A" w:rsidP="00666A4A">
      <w:pPr>
        <w:pStyle w:val="ListParagraph"/>
        <w:numPr>
          <w:ilvl w:val="0"/>
          <w:numId w:val="3"/>
        </w:numPr>
      </w:pPr>
      <w:r>
        <w:t>State and Local Safety Regulations.</w:t>
      </w:r>
    </w:p>
    <w:p w14:paraId="01565291" w14:textId="6DE1BE3D" w:rsidR="00BB3AC9" w:rsidRDefault="00BB3AC9" w:rsidP="00BB3AC9">
      <w:pPr>
        <w:rPr>
          <w:b/>
          <w:bCs/>
        </w:rPr>
      </w:pPr>
      <w:r w:rsidRPr="00BB3AC9">
        <w:rPr>
          <w:b/>
          <w:bCs/>
        </w:rPr>
        <w:t>Prepare and Maintain Written Plans and Documents</w:t>
      </w:r>
    </w:p>
    <w:p w14:paraId="03D9633E" w14:textId="77777777" w:rsidR="00896706" w:rsidRPr="00896706" w:rsidRDefault="00896706" w:rsidP="00896706">
      <w:pPr>
        <w:pStyle w:val="ListParagraph"/>
        <w:numPr>
          <w:ilvl w:val="0"/>
          <w:numId w:val="6"/>
        </w:numPr>
      </w:pPr>
      <w:r w:rsidRPr="00896706">
        <w:t>OSHA-required</w:t>
      </w:r>
    </w:p>
    <w:p w14:paraId="3C56750B" w14:textId="03D1CD2B" w:rsidR="00896706" w:rsidRDefault="00896706" w:rsidP="00896706">
      <w:pPr>
        <w:pStyle w:val="ListParagraph"/>
        <w:numPr>
          <w:ilvl w:val="1"/>
          <w:numId w:val="6"/>
        </w:numPr>
      </w:pPr>
      <w:r w:rsidRPr="00896706">
        <w:t xml:space="preserve">exposure control plan that is updated at least annually and to reflect any new policies or </w:t>
      </w:r>
      <w:proofErr w:type="gramStart"/>
      <w:r w:rsidRPr="00896706">
        <w:t>procedures</w:t>
      </w:r>
      <w:proofErr w:type="gramEnd"/>
    </w:p>
    <w:p w14:paraId="1C3AC146" w14:textId="57CEF69A" w:rsidR="00896706" w:rsidRPr="00896706" w:rsidRDefault="00896706" w:rsidP="00896706">
      <w:pPr>
        <w:pStyle w:val="ListParagraph"/>
        <w:numPr>
          <w:ilvl w:val="1"/>
          <w:numId w:val="6"/>
        </w:numPr>
      </w:pPr>
      <w:r w:rsidRPr="00896706">
        <w:t xml:space="preserve">hazard communication program that is updated with each new hazardous </w:t>
      </w:r>
      <w:proofErr w:type="gramStart"/>
      <w:r w:rsidRPr="00896706">
        <w:t>chemical</w:t>
      </w:r>
      <w:proofErr w:type="gramEnd"/>
    </w:p>
    <w:p w14:paraId="2D441C01" w14:textId="30A16A86" w:rsidR="00896706" w:rsidRPr="00896706" w:rsidRDefault="00896706" w:rsidP="00896706">
      <w:pPr>
        <w:pStyle w:val="ListParagraph"/>
        <w:numPr>
          <w:ilvl w:val="1"/>
          <w:numId w:val="6"/>
        </w:numPr>
      </w:pPr>
      <w:r w:rsidRPr="00896706">
        <w:t xml:space="preserve">list of all hazardous chemicals </w:t>
      </w:r>
      <w:proofErr w:type="gramStart"/>
      <w:r w:rsidRPr="00896706">
        <w:t>present</w:t>
      </w:r>
      <w:proofErr w:type="gramEnd"/>
      <w:r w:rsidRPr="00896706">
        <w:t xml:space="preserve"> in the practice</w:t>
      </w:r>
    </w:p>
    <w:p w14:paraId="4655A8D8" w14:textId="0E14021A" w:rsidR="00896706" w:rsidRPr="00896706" w:rsidRDefault="00896706" w:rsidP="00896706">
      <w:pPr>
        <w:pStyle w:val="ListParagraph"/>
        <w:numPr>
          <w:ilvl w:val="1"/>
          <w:numId w:val="6"/>
        </w:numPr>
      </w:pPr>
      <w:r w:rsidRPr="00896706">
        <w:t>an SDS for each hazardous chemical in the practice</w:t>
      </w:r>
    </w:p>
    <w:p w14:paraId="063A3057" w14:textId="49138CF9" w:rsidR="00896706" w:rsidRPr="00896706" w:rsidRDefault="00896706" w:rsidP="00896706">
      <w:pPr>
        <w:pStyle w:val="ListParagraph"/>
        <w:numPr>
          <w:ilvl w:val="1"/>
          <w:numId w:val="6"/>
        </w:numPr>
      </w:pPr>
      <w:r w:rsidRPr="00896706">
        <w:t>emergency action and fire prevention plan</w:t>
      </w:r>
    </w:p>
    <w:p w14:paraId="32BA49DA" w14:textId="7074BA14" w:rsidR="00896706" w:rsidRPr="00896706" w:rsidRDefault="00896706" w:rsidP="00896706">
      <w:pPr>
        <w:pStyle w:val="ListParagraph"/>
        <w:numPr>
          <w:ilvl w:val="0"/>
          <w:numId w:val="6"/>
        </w:numPr>
      </w:pPr>
      <w:r w:rsidRPr="00896706">
        <w:t>CDC’s written tuberculosis infection control plan.</w:t>
      </w:r>
    </w:p>
    <w:p w14:paraId="005449DF" w14:textId="4F50D471" w:rsidR="00896706" w:rsidRPr="00896706" w:rsidRDefault="00896706" w:rsidP="00896706">
      <w:pPr>
        <w:pStyle w:val="ListParagraph"/>
        <w:numPr>
          <w:ilvl w:val="0"/>
          <w:numId w:val="6"/>
        </w:numPr>
      </w:pPr>
      <w:r w:rsidRPr="00896706">
        <w:t xml:space="preserve">Develop the CDC-recommended written personnel health program for the office staff that </w:t>
      </w:r>
      <w:proofErr w:type="gramStart"/>
      <w:r w:rsidRPr="00896706">
        <w:t>includes:</w:t>
      </w:r>
      <w:proofErr w:type="gramEnd"/>
      <w:r w:rsidRPr="00896706">
        <w:t xml:space="preserve"> policies, procedures, and guidelines for education and training; immunizations; exposure prevention and post-exposure management; medical conditions, work-related illness, and associated work restrictions; contact dermatitis and latex hypersensitivity; and maintenance of records, data management, and confidentiality.</w:t>
      </w:r>
    </w:p>
    <w:p w14:paraId="7A97C826" w14:textId="53C098BC" w:rsidR="00896706" w:rsidRPr="00896706" w:rsidRDefault="00896706" w:rsidP="00896706">
      <w:pPr>
        <w:pStyle w:val="ListParagraph"/>
        <w:numPr>
          <w:ilvl w:val="0"/>
          <w:numId w:val="6"/>
        </w:numPr>
      </w:pPr>
      <w:r w:rsidRPr="00896706">
        <w:t>Establish referral arrangements with qualified health-care professionals to ensure prompt and appropriate provision of preventive services, occupationally related medical conditions, and post-exposure management with medical follow-up.</w:t>
      </w:r>
    </w:p>
    <w:p w14:paraId="084C0E1E" w14:textId="2BE6603A" w:rsidR="00BB3AC9" w:rsidRDefault="00896706" w:rsidP="00896706">
      <w:pPr>
        <w:pStyle w:val="ListParagraph"/>
        <w:numPr>
          <w:ilvl w:val="0"/>
          <w:numId w:val="6"/>
        </w:numPr>
      </w:pPr>
      <w:r w:rsidRPr="00896706">
        <w:t>Prepare a list of emergency contact information to help manage staff injuries, sterilizer failures, supplies/equipment/instrument/ utility problems.</w:t>
      </w:r>
    </w:p>
    <w:p w14:paraId="5823AB69" w14:textId="77777777" w:rsidR="00C2255E" w:rsidRDefault="00C2255E" w:rsidP="00896706">
      <w:pPr>
        <w:rPr>
          <w:b/>
          <w:bCs/>
        </w:rPr>
      </w:pPr>
    </w:p>
    <w:p w14:paraId="53995AB2" w14:textId="77777777" w:rsidR="00C2255E" w:rsidRDefault="00C2255E" w:rsidP="00896706">
      <w:pPr>
        <w:rPr>
          <w:b/>
          <w:bCs/>
        </w:rPr>
      </w:pPr>
    </w:p>
    <w:p w14:paraId="5AE8541D" w14:textId="77777777" w:rsidR="00C2255E" w:rsidRDefault="00C2255E" w:rsidP="00896706">
      <w:pPr>
        <w:rPr>
          <w:b/>
          <w:bCs/>
        </w:rPr>
      </w:pPr>
    </w:p>
    <w:p w14:paraId="1489E0A1" w14:textId="77777777" w:rsidR="00C2255E" w:rsidRDefault="00C2255E" w:rsidP="00896706">
      <w:pPr>
        <w:rPr>
          <w:b/>
          <w:bCs/>
        </w:rPr>
      </w:pPr>
    </w:p>
    <w:p w14:paraId="7C87B9BD" w14:textId="77777777" w:rsidR="00C2255E" w:rsidRDefault="00C2255E" w:rsidP="00896706">
      <w:pPr>
        <w:rPr>
          <w:b/>
          <w:bCs/>
        </w:rPr>
      </w:pPr>
    </w:p>
    <w:p w14:paraId="1DA72DD8" w14:textId="1A3813B7" w:rsidR="00C2255E" w:rsidRDefault="00C2255E" w:rsidP="00896706">
      <w:pPr>
        <w:rPr>
          <w:b/>
          <w:bCs/>
        </w:rPr>
      </w:pPr>
    </w:p>
    <w:p w14:paraId="74590BE6" w14:textId="77777777" w:rsidR="002B33E3" w:rsidRDefault="002B33E3" w:rsidP="00896706">
      <w:pPr>
        <w:rPr>
          <w:b/>
          <w:bCs/>
        </w:rPr>
      </w:pPr>
    </w:p>
    <w:p w14:paraId="400665D1" w14:textId="7DED8F80" w:rsidR="00896706" w:rsidRPr="00C87A08" w:rsidRDefault="00896706" w:rsidP="00896706">
      <w:pPr>
        <w:rPr>
          <w:b/>
          <w:bCs/>
        </w:rPr>
      </w:pPr>
      <w:r w:rsidRPr="00C87A08">
        <w:rPr>
          <w:b/>
          <w:bCs/>
        </w:rPr>
        <w:lastRenderedPageBreak/>
        <w:t>Generate/Update/Maintain Logs of Safety-Related Records</w:t>
      </w:r>
    </w:p>
    <w:p w14:paraId="4F97FE24" w14:textId="258AAAA1" w:rsidR="00CC00A4" w:rsidRDefault="00CC00A4" w:rsidP="00CC00A4">
      <w:pPr>
        <w:pStyle w:val="ListParagraph"/>
        <w:numPr>
          <w:ilvl w:val="0"/>
          <w:numId w:val="7"/>
        </w:numPr>
      </w:pPr>
      <w:r>
        <w:t>OSHA-required medical records for each employee with the potential for occupational exposure.</w:t>
      </w:r>
    </w:p>
    <w:p w14:paraId="0852EB42" w14:textId="613ABDA7" w:rsidR="00CC00A4" w:rsidRDefault="00CC00A4" w:rsidP="00CC00A4">
      <w:pPr>
        <w:pStyle w:val="ListParagraph"/>
      </w:pPr>
      <w:r>
        <w:t>(Records are to contain the social security number; hepatitis B immunization status and related medical records including the dates of vaccinations and the healthcare professional’s written opinion; all records related to previous post-exposure evaluations including all the information provided to the evaluating professional and the evaluating professional’s written opinion. These records are confidential, but the ICC can work with the employer to make sure they have been kept, are current, and their location is known. They need to be maintained at least for the duration of employment plus 30 years and be readily available if an occupational exposure occurs.)</w:t>
      </w:r>
    </w:p>
    <w:p w14:paraId="1FD797B9" w14:textId="6AF2E5EA" w:rsidR="00CC00A4" w:rsidRDefault="00CC00A4" w:rsidP="00CC00A4">
      <w:pPr>
        <w:pStyle w:val="ListParagraph"/>
        <w:numPr>
          <w:ilvl w:val="0"/>
          <w:numId w:val="7"/>
        </w:numPr>
      </w:pPr>
      <w:r>
        <w:t>OSHA bloodborne pathogens training records. (To include the name and job title of the trained person; the date of the training; the content/summary of the training; the name and qualifications of the trainer. To be maintained for 3 years.)</w:t>
      </w:r>
    </w:p>
    <w:p w14:paraId="15CCE5FF" w14:textId="77777777" w:rsidR="00CC00A4" w:rsidRDefault="00CC00A4" w:rsidP="00CC00A4">
      <w:pPr>
        <w:pStyle w:val="ListParagraph"/>
        <w:numPr>
          <w:ilvl w:val="0"/>
          <w:numId w:val="7"/>
        </w:numPr>
      </w:pPr>
      <w:r>
        <w:t xml:space="preserve">Manifests from any medical waste </w:t>
      </w:r>
      <w:proofErr w:type="gramStart"/>
      <w:r>
        <w:t>haulers.*</w:t>
      </w:r>
      <w:proofErr w:type="gramEnd"/>
    </w:p>
    <w:p w14:paraId="461A7CD1" w14:textId="77777777" w:rsidR="00CC00A4" w:rsidRDefault="00CC00A4" w:rsidP="00CC00A4">
      <w:pPr>
        <w:pStyle w:val="ListParagraph"/>
        <w:numPr>
          <w:ilvl w:val="0"/>
          <w:numId w:val="7"/>
        </w:numPr>
      </w:pPr>
      <w:r>
        <w:t xml:space="preserve">Verification of any on-site sterilization of regulated medical waste prior to </w:t>
      </w:r>
      <w:proofErr w:type="gramStart"/>
      <w:r>
        <w:t>disposal.*</w:t>
      </w:r>
      <w:proofErr w:type="gramEnd"/>
    </w:p>
    <w:p w14:paraId="1D77D494" w14:textId="77777777" w:rsidR="00CC00A4" w:rsidRDefault="00CC00A4" w:rsidP="00CC00A4">
      <w:pPr>
        <w:pStyle w:val="ListParagraph"/>
        <w:numPr>
          <w:ilvl w:val="0"/>
          <w:numId w:val="7"/>
        </w:numPr>
      </w:pPr>
      <w:r>
        <w:t xml:space="preserve">Radiographic equipment </w:t>
      </w:r>
      <w:proofErr w:type="gramStart"/>
      <w:r>
        <w:t>certifications.*</w:t>
      </w:r>
      <w:proofErr w:type="gramEnd"/>
    </w:p>
    <w:p w14:paraId="7E3B57B0" w14:textId="77777777" w:rsidR="00CC00A4" w:rsidRDefault="00CC00A4" w:rsidP="00CC00A4">
      <w:pPr>
        <w:pStyle w:val="ListParagraph"/>
        <w:numPr>
          <w:ilvl w:val="0"/>
          <w:numId w:val="7"/>
        </w:numPr>
      </w:pPr>
      <w:r>
        <w:t xml:space="preserve">Fire extinguisher </w:t>
      </w:r>
      <w:proofErr w:type="gramStart"/>
      <w:r>
        <w:t>certifications.*</w:t>
      </w:r>
      <w:proofErr w:type="gramEnd"/>
    </w:p>
    <w:p w14:paraId="295C8525" w14:textId="77777777" w:rsidR="00CC00A4" w:rsidRDefault="00CC00A4" w:rsidP="00CC00A4">
      <w:pPr>
        <w:pStyle w:val="ListParagraph"/>
        <w:numPr>
          <w:ilvl w:val="0"/>
          <w:numId w:val="7"/>
        </w:numPr>
      </w:pPr>
      <w:r>
        <w:t>Sterilization monitoring records (for mechanical, chemical, and biological monitoring</w:t>
      </w:r>
      <w:proofErr w:type="gramStart"/>
      <w:r>
        <w:t>).*</w:t>
      </w:r>
      <w:proofErr w:type="gramEnd"/>
    </w:p>
    <w:p w14:paraId="32CE5B0E" w14:textId="406CCF61" w:rsidR="00CC00A4" w:rsidRDefault="00CC00A4" w:rsidP="00CC00A4">
      <w:pPr>
        <w:pStyle w:val="ListParagraph"/>
        <w:numPr>
          <w:ilvl w:val="0"/>
          <w:numId w:val="7"/>
        </w:numPr>
      </w:pPr>
      <w:r>
        <w:t>Equipment maintenance logs.</w:t>
      </w:r>
    </w:p>
    <w:p w14:paraId="4ECA41CE" w14:textId="2F2B8AAE" w:rsidR="00B77427" w:rsidRDefault="00CC00A4" w:rsidP="00CC00A4">
      <w:r>
        <w:t xml:space="preserve">*check your state and local </w:t>
      </w:r>
      <w:proofErr w:type="gramStart"/>
      <w:r>
        <w:t>regulations</w:t>
      </w:r>
      <w:proofErr w:type="gramEnd"/>
    </w:p>
    <w:p w14:paraId="2393117F" w14:textId="23C9E91B" w:rsidR="00B77427" w:rsidRPr="00C87A08" w:rsidRDefault="00B77427" w:rsidP="00CC00A4">
      <w:pPr>
        <w:rPr>
          <w:b/>
          <w:bCs/>
        </w:rPr>
      </w:pPr>
      <w:r w:rsidRPr="00C87A08">
        <w:rPr>
          <w:b/>
          <w:bCs/>
        </w:rPr>
        <w:t>Provide/Support Safety Training</w:t>
      </w:r>
    </w:p>
    <w:p w14:paraId="058D11F9" w14:textId="674B8C7E" w:rsidR="00FB57B1" w:rsidRDefault="00FB57B1" w:rsidP="00FB57B1">
      <w:pPr>
        <w:pStyle w:val="ListParagraph"/>
        <w:numPr>
          <w:ilvl w:val="0"/>
          <w:numId w:val="8"/>
        </w:numPr>
      </w:pPr>
      <w:r>
        <w:t>Ensure that a written Exposure Control Plan exists in the office and that it is reviewed and updated at least annually and used in training sessions.</w:t>
      </w:r>
    </w:p>
    <w:p w14:paraId="0FF73C53" w14:textId="00706FD5" w:rsidR="00FB57B1" w:rsidRDefault="00FB57B1" w:rsidP="00FB57B1">
      <w:pPr>
        <w:pStyle w:val="ListParagraph"/>
        <w:numPr>
          <w:ilvl w:val="0"/>
          <w:numId w:val="8"/>
        </w:numPr>
      </w:pPr>
      <w:r>
        <w:t>Provide or arrange for safety training of new employees (e.g., bloodborne pathogens; hazard communication; emergency evacuation plans and routes; location of eyewash stations and of important documents [e.g., OSHA standards, safety data sheets (SDS), exposure control plan, hazard communication program]).</w:t>
      </w:r>
    </w:p>
    <w:p w14:paraId="1AD1FED7" w14:textId="43B83FC0" w:rsidR="00FB57B1" w:rsidRDefault="00FB57B1" w:rsidP="00FB57B1">
      <w:pPr>
        <w:pStyle w:val="ListParagraph"/>
        <w:numPr>
          <w:ilvl w:val="0"/>
          <w:numId w:val="8"/>
        </w:numPr>
      </w:pPr>
      <w:r>
        <w:t>Confirm that temporary staff have received the OSHA-required bloodborne pathogens training from their primary employer.</w:t>
      </w:r>
    </w:p>
    <w:p w14:paraId="052A4AE9" w14:textId="5B1120A1" w:rsidR="00FB57B1" w:rsidRDefault="00FB57B1" w:rsidP="00FB57B1">
      <w:pPr>
        <w:pStyle w:val="ListParagraph"/>
        <w:numPr>
          <w:ilvl w:val="0"/>
          <w:numId w:val="8"/>
        </w:numPr>
      </w:pPr>
      <w:r>
        <w:t>Provide additional special training (unique to the facility) to temporary staff (e.g., emergency evacuation plans and routes; location of eyewash stations and personal protective equipment; location of important documents [e.g., OSHA standards, SDSs, exposure control plan, hazard communication program]).</w:t>
      </w:r>
    </w:p>
    <w:p w14:paraId="42888717" w14:textId="20AB286E" w:rsidR="00FB57B1" w:rsidRDefault="00FB57B1" w:rsidP="00FB57B1">
      <w:pPr>
        <w:pStyle w:val="ListParagraph"/>
        <w:numPr>
          <w:ilvl w:val="0"/>
          <w:numId w:val="8"/>
        </w:numPr>
      </w:pPr>
      <w:r>
        <w:t>Provide or arrange for at least annual update training related to OSHA’s Bloodborne Pathogens Standard.</w:t>
      </w:r>
    </w:p>
    <w:p w14:paraId="0AB34AE9" w14:textId="4203A402" w:rsidR="00FB57B1" w:rsidRDefault="00FB57B1" w:rsidP="00FB57B1">
      <w:pPr>
        <w:pStyle w:val="ListParagraph"/>
        <w:numPr>
          <w:ilvl w:val="0"/>
          <w:numId w:val="8"/>
        </w:numPr>
      </w:pPr>
      <w:r>
        <w:t xml:space="preserve">Confirm that the cleaning crew is aware of potential hazards in the facility (e.g., sharps containers, medical waste containers, </w:t>
      </w:r>
      <w:r w:rsidR="00C87A08">
        <w:t>instruments,</w:t>
      </w:r>
      <w:r>
        <w:t xml:space="preserve"> and sterilizers in the instrument processing area). If sterilizers are operated after hours, place a “HOT” sign on them.</w:t>
      </w:r>
    </w:p>
    <w:p w14:paraId="1B4D800C" w14:textId="420A0BC2" w:rsidR="00FB57B1" w:rsidRDefault="00FB57B1" w:rsidP="00FB57B1">
      <w:pPr>
        <w:pStyle w:val="ListParagraph"/>
        <w:numPr>
          <w:ilvl w:val="0"/>
          <w:numId w:val="8"/>
        </w:numPr>
      </w:pPr>
      <w:r>
        <w:t>Inform regular and temporary employees of new chemicals, procedures, products, and equipment in the facility; institute any related training required; and update office safety documents and records (e.g., exposure control plan, hazard communication program, SDSs, training records).</w:t>
      </w:r>
    </w:p>
    <w:p w14:paraId="6682B437" w14:textId="4D734C07" w:rsidR="003F3A10" w:rsidRDefault="00FB57B1" w:rsidP="00BB6819">
      <w:pPr>
        <w:pStyle w:val="ListParagraph"/>
        <w:numPr>
          <w:ilvl w:val="0"/>
          <w:numId w:val="8"/>
        </w:numPr>
      </w:pPr>
      <w:r>
        <w:t>Emphasize the importance of the facility’s “culture of safety” during all safety training situations. The Department of Defense and the Department of Health and Human Services’ Agency for Healthcare Research and Quality have developed a free training program designed to improve the quality, safety, and efficiency of health care. This resource is available at:</w:t>
      </w:r>
      <w:r w:rsidR="00BB6819">
        <w:t xml:space="preserve"> </w:t>
      </w:r>
      <w:hyperlink r:id="rId10" w:history="1">
        <w:r w:rsidR="00BB6819" w:rsidRPr="00351B50">
          <w:rPr>
            <w:rStyle w:val="Hyperlink"/>
          </w:rPr>
          <w:t>www.ahrq.gov/teamstepps/instructor/fundamentals/index.html</w:t>
        </w:r>
      </w:hyperlink>
      <w:r w:rsidR="003F3A10">
        <w:t xml:space="preserve"> </w:t>
      </w:r>
    </w:p>
    <w:p w14:paraId="7509A400" w14:textId="3D2C45E8" w:rsidR="00FB57B1" w:rsidRDefault="00FB57B1" w:rsidP="00FB57B1">
      <w:pPr>
        <w:pStyle w:val="ListParagraph"/>
        <w:numPr>
          <w:ilvl w:val="0"/>
          <w:numId w:val="8"/>
        </w:numPr>
      </w:pPr>
      <w:r>
        <w:t>Post signs in the sterilizing room and posters on the bulletin board as reminders of safe practices.</w:t>
      </w:r>
    </w:p>
    <w:p w14:paraId="14006855" w14:textId="1EBEF2DF" w:rsidR="00B77427" w:rsidRDefault="00FB57B1" w:rsidP="00FB57B1">
      <w:pPr>
        <w:pStyle w:val="ListParagraph"/>
        <w:numPr>
          <w:ilvl w:val="0"/>
          <w:numId w:val="8"/>
        </w:numPr>
      </w:pPr>
      <w:r>
        <w:t>Make safety a routine part of team huddles and the more extensive staff meetings.</w:t>
      </w:r>
    </w:p>
    <w:p w14:paraId="73CDC95B" w14:textId="209BF11A" w:rsidR="00C2255E" w:rsidRDefault="00C2255E" w:rsidP="00C87A08">
      <w:pPr>
        <w:rPr>
          <w:b/>
          <w:bCs/>
        </w:rPr>
      </w:pPr>
    </w:p>
    <w:p w14:paraId="197D2A92" w14:textId="77777777" w:rsidR="00BB6819" w:rsidRDefault="00BB6819" w:rsidP="00C87A08">
      <w:pPr>
        <w:rPr>
          <w:b/>
          <w:bCs/>
        </w:rPr>
      </w:pPr>
    </w:p>
    <w:p w14:paraId="1E7819CC" w14:textId="31967330" w:rsidR="00C87A08" w:rsidRPr="00A60388" w:rsidRDefault="00C87A08" w:rsidP="00C87A08">
      <w:pPr>
        <w:rPr>
          <w:b/>
          <w:bCs/>
        </w:rPr>
      </w:pPr>
      <w:r w:rsidRPr="00A60388">
        <w:rPr>
          <w:b/>
          <w:bCs/>
        </w:rPr>
        <w:lastRenderedPageBreak/>
        <w:t>Other Duties</w:t>
      </w:r>
    </w:p>
    <w:p w14:paraId="5E6149DF" w14:textId="77777777" w:rsidR="00A60388" w:rsidRDefault="00A60388" w:rsidP="00A60388">
      <w:pPr>
        <w:pStyle w:val="ListParagraph"/>
        <w:numPr>
          <w:ilvl w:val="0"/>
          <w:numId w:val="8"/>
        </w:numPr>
      </w:pPr>
      <w:r>
        <w:t>Maintain products/equipment needed to accomplish office safety (e.g., PPE, disinfectants, cleaning and sterilization equipment, eyewash stations).</w:t>
      </w:r>
    </w:p>
    <w:p w14:paraId="555BD9F6" w14:textId="77777777" w:rsidR="00A60388" w:rsidRDefault="00A60388" w:rsidP="00A60388">
      <w:pPr>
        <w:pStyle w:val="ListParagraph"/>
        <w:numPr>
          <w:ilvl w:val="0"/>
          <w:numId w:val="8"/>
        </w:numPr>
      </w:pPr>
      <w:r>
        <w:t>Maintain logs for equipment repair and maintenance.</w:t>
      </w:r>
    </w:p>
    <w:p w14:paraId="3FC58610" w14:textId="77777777" w:rsidR="00A60388" w:rsidRDefault="00A60388" w:rsidP="00A60388">
      <w:pPr>
        <w:pStyle w:val="ListParagraph"/>
        <w:numPr>
          <w:ilvl w:val="0"/>
          <w:numId w:val="8"/>
        </w:numPr>
      </w:pPr>
      <w:r>
        <w:t>Decontaminate/label equipment and dental laboratory items to be shipped/repaired.</w:t>
      </w:r>
    </w:p>
    <w:p w14:paraId="17B4E989" w14:textId="77777777" w:rsidR="00A60388" w:rsidRDefault="00A60388" w:rsidP="00A60388">
      <w:pPr>
        <w:pStyle w:val="ListParagraph"/>
        <w:numPr>
          <w:ilvl w:val="0"/>
          <w:numId w:val="8"/>
        </w:numPr>
      </w:pPr>
      <w:r>
        <w:t>Ensure all those taking x-rays are properly certified.</w:t>
      </w:r>
    </w:p>
    <w:p w14:paraId="126FD875" w14:textId="77777777" w:rsidR="00A60388" w:rsidRDefault="00A60388" w:rsidP="00A60388">
      <w:pPr>
        <w:pStyle w:val="ListParagraph"/>
        <w:numPr>
          <w:ilvl w:val="0"/>
          <w:numId w:val="8"/>
        </w:numPr>
      </w:pPr>
      <w:r>
        <w:t>Maintain evacuation routes, smoke alarms, and exit signs.</w:t>
      </w:r>
    </w:p>
    <w:p w14:paraId="67CFB002" w14:textId="77777777" w:rsidR="00A60388" w:rsidRDefault="00A60388" w:rsidP="00A60388">
      <w:pPr>
        <w:pStyle w:val="ListParagraph"/>
        <w:numPr>
          <w:ilvl w:val="0"/>
          <w:numId w:val="8"/>
        </w:numPr>
      </w:pPr>
      <w:r>
        <w:t>Periodically check electrical cords for signs of wear.</w:t>
      </w:r>
    </w:p>
    <w:p w14:paraId="25A01CB6" w14:textId="77777777" w:rsidR="00A60388" w:rsidRDefault="00A60388" w:rsidP="00A60388">
      <w:pPr>
        <w:pStyle w:val="ListParagraph"/>
        <w:numPr>
          <w:ilvl w:val="0"/>
          <w:numId w:val="8"/>
        </w:numPr>
      </w:pPr>
      <w:r>
        <w:t>Monitor general cleanliness of the office.</w:t>
      </w:r>
    </w:p>
    <w:p w14:paraId="0A7A3FBF" w14:textId="77777777" w:rsidR="00A60388" w:rsidRDefault="00A60388" w:rsidP="00A60388">
      <w:pPr>
        <w:pStyle w:val="ListParagraph"/>
        <w:numPr>
          <w:ilvl w:val="0"/>
          <w:numId w:val="8"/>
        </w:numPr>
      </w:pPr>
      <w:r>
        <w:t>Ensure proper handling of contaminated laundry.</w:t>
      </w:r>
    </w:p>
    <w:p w14:paraId="0EEC3CC2" w14:textId="77777777" w:rsidR="00A60388" w:rsidRDefault="00A60388" w:rsidP="00A60388">
      <w:pPr>
        <w:pStyle w:val="ListParagraph"/>
        <w:numPr>
          <w:ilvl w:val="0"/>
          <w:numId w:val="8"/>
        </w:numPr>
      </w:pPr>
      <w:r>
        <w:t>Ensure proper/safe storage of hazardous materials, compressed gases, and any food/drinks.</w:t>
      </w:r>
    </w:p>
    <w:p w14:paraId="17E3A510" w14:textId="71D6D863" w:rsidR="00A60388" w:rsidRDefault="00A60388" w:rsidP="00A60388">
      <w:pPr>
        <w:pStyle w:val="ListParagraph"/>
        <w:numPr>
          <w:ilvl w:val="0"/>
          <w:numId w:val="8"/>
        </w:numPr>
      </w:pPr>
      <w:r>
        <w:t>Manage all the SDSs and establish their location along with the required list of hazardous chemicals present in the facility.</w:t>
      </w:r>
    </w:p>
    <w:p w14:paraId="13400E56" w14:textId="77777777" w:rsidR="00A60388" w:rsidRDefault="00A60388" w:rsidP="00A60388">
      <w:pPr>
        <w:pStyle w:val="ListParagraph"/>
        <w:numPr>
          <w:ilvl w:val="0"/>
          <w:numId w:val="8"/>
        </w:numPr>
      </w:pPr>
      <w:r>
        <w:t>Ensure waste management and disposal meet all local and federal regulations.</w:t>
      </w:r>
    </w:p>
    <w:p w14:paraId="4B2F45D4" w14:textId="37351E69" w:rsidR="00437871" w:rsidRDefault="00A60388" w:rsidP="00437871">
      <w:pPr>
        <w:pStyle w:val="ListParagraph"/>
        <w:numPr>
          <w:ilvl w:val="0"/>
          <w:numId w:val="8"/>
        </w:numPr>
      </w:pPr>
      <w:r>
        <w:t>Monitor/Evaluate infection control compliance as recommended by the CDC.</w:t>
      </w:r>
    </w:p>
    <w:p w14:paraId="64159727" w14:textId="340D91F0" w:rsidR="00437871" w:rsidRPr="00C2255E" w:rsidRDefault="00437871" w:rsidP="00437871">
      <w:pPr>
        <w:rPr>
          <w:b/>
          <w:bCs/>
        </w:rPr>
      </w:pPr>
      <w:r w:rsidRPr="00C2255E">
        <w:rPr>
          <w:b/>
          <w:bCs/>
        </w:rPr>
        <w:t>Resources</w:t>
      </w:r>
    </w:p>
    <w:p w14:paraId="583F976B" w14:textId="7EA5DFBB" w:rsidR="00437871" w:rsidRDefault="00437871" w:rsidP="00437871">
      <w:pPr>
        <w:pStyle w:val="ListParagraph"/>
        <w:numPr>
          <w:ilvl w:val="0"/>
          <w:numId w:val="9"/>
        </w:numPr>
      </w:pPr>
      <w:r>
        <w:t xml:space="preserve">OSHA. Hazard Communication. </w:t>
      </w:r>
      <w:hyperlink r:id="rId11" w:history="1">
        <w:r w:rsidR="00BB6819" w:rsidRPr="00351B50">
          <w:rPr>
            <w:rStyle w:val="Hyperlink"/>
          </w:rPr>
          <w:t>www.osha.gov/laws-regs/regulations/standardnumber/1910/1910.1200</w:t>
        </w:r>
      </w:hyperlink>
      <w:r w:rsidR="00BB6819">
        <w:t xml:space="preserve"> </w:t>
      </w:r>
    </w:p>
    <w:p w14:paraId="17A8728C" w14:textId="3C850AA3" w:rsidR="005933A4" w:rsidRDefault="00437871" w:rsidP="00437871">
      <w:pPr>
        <w:pStyle w:val="ListParagraph"/>
        <w:numPr>
          <w:ilvl w:val="0"/>
          <w:numId w:val="9"/>
        </w:numPr>
      </w:pPr>
      <w:r>
        <w:t xml:space="preserve">OSHA. Bloodborne Pathogens Standard. </w:t>
      </w:r>
      <w:hyperlink r:id="rId12" w:history="1">
        <w:r w:rsidR="00BB6819" w:rsidRPr="00351B50">
          <w:rPr>
            <w:rStyle w:val="Hyperlink"/>
          </w:rPr>
          <w:t>www.osha.gov/laws-regs/regulations/standardnumber/1910/1910.1030</w:t>
        </w:r>
      </w:hyperlink>
      <w:r w:rsidR="00BB6819">
        <w:t xml:space="preserve"> </w:t>
      </w:r>
    </w:p>
    <w:p w14:paraId="35112A27" w14:textId="215D8386" w:rsidR="005933A4" w:rsidRDefault="00437871" w:rsidP="00437871">
      <w:pPr>
        <w:pStyle w:val="ListParagraph"/>
        <w:numPr>
          <w:ilvl w:val="0"/>
          <w:numId w:val="9"/>
        </w:numPr>
      </w:pPr>
      <w:r>
        <w:t>OSHA. Bloodborne pathogens and needlestick prevention.</w:t>
      </w:r>
      <w:r w:rsidR="00006DC5">
        <w:t xml:space="preserve"> </w:t>
      </w:r>
      <w:hyperlink r:id="rId13" w:history="1">
        <w:r w:rsidR="00006DC5" w:rsidRPr="00351B50">
          <w:rPr>
            <w:rStyle w:val="Hyperlink"/>
          </w:rPr>
          <w:t>www.osha.gov/SLTC/bloodbornepathogens/index.html</w:t>
        </w:r>
      </w:hyperlink>
      <w:r>
        <w:t>.</w:t>
      </w:r>
    </w:p>
    <w:p w14:paraId="168F6088" w14:textId="15236CD8" w:rsidR="004F7F83" w:rsidRDefault="00437871" w:rsidP="00437871">
      <w:pPr>
        <w:pStyle w:val="ListParagraph"/>
        <w:numPr>
          <w:ilvl w:val="0"/>
          <w:numId w:val="9"/>
        </w:numPr>
      </w:pPr>
      <w:r>
        <w:t>Stewart, D. Patient Safety.</w:t>
      </w:r>
      <w:r w:rsidR="00991A5E">
        <w:t xml:space="preserve"> </w:t>
      </w:r>
      <w:hyperlink r:id="rId14" w:history="1">
        <w:r w:rsidR="004F7F83" w:rsidRPr="00351B50">
          <w:rPr>
            <w:rStyle w:val="Hyperlink"/>
          </w:rPr>
          <w:t>www.adea.org/uploadedFiles/ADEA/Content_Conversion/events/past_events/BFACA/2013_BFACA/2013_BFACA_STEWART.pdf</w:t>
        </w:r>
      </w:hyperlink>
      <w:r w:rsidR="004F7F83">
        <w:t xml:space="preserve"> </w:t>
      </w:r>
    </w:p>
    <w:p w14:paraId="34A79365" w14:textId="1FAA9CE4" w:rsidR="004F7F83" w:rsidRDefault="00437871" w:rsidP="00437871">
      <w:pPr>
        <w:pStyle w:val="ListParagraph"/>
        <w:numPr>
          <w:ilvl w:val="0"/>
          <w:numId w:val="9"/>
        </w:numPr>
      </w:pPr>
      <w:r>
        <w:t xml:space="preserve">OSHA. OSHA Laws and Regulations. </w:t>
      </w:r>
      <w:hyperlink r:id="rId15" w:history="1">
        <w:r w:rsidR="004F7F83" w:rsidRPr="00351B50">
          <w:rPr>
            <w:rStyle w:val="Hyperlink"/>
          </w:rPr>
          <w:t>www.osha.gov/law-regs.html</w:t>
        </w:r>
      </w:hyperlink>
      <w:r w:rsidR="004F7F83">
        <w:t xml:space="preserve"> </w:t>
      </w:r>
    </w:p>
    <w:p w14:paraId="71590DA7" w14:textId="77777777" w:rsidR="004F7F83" w:rsidRDefault="00437871" w:rsidP="00437871">
      <w:pPr>
        <w:pStyle w:val="ListParagraph"/>
        <w:numPr>
          <w:ilvl w:val="0"/>
          <w:numId w:val="9"/>
        </w:numPr>
      </w:pPr>
      <w:r>
        <w:t xml:space="preserve">OSHA. A guide for compliance with OSHA standards for medical and dental offices. </w:t>
      </w:r>
    </w:p>
    <w:p w14:paraId="0E5A0D4F" w14:textId="6F51A5CD" w:rsidR="004F7F83" w:rsidRDefault="00991A5E" w:rsidP="004F7F83">
      <w:pPr>
        <w:pStyle w:val="ListParagraph"/>
      </w:pPr>
      <w:hyperlink r:id="rId16" w:history="1">
        <w:r w:rsidR="004F7F83" w:rsidRPr="00351B50">
          <w:rPr>
            <w:rStyle w:val="Hyperlink"/>
          </w:rPr>
          <w:t>www.osha.gov/publication/osha3137.pdf</w:t>
        </w:r>
      </w:hyperlink>
      <w:r w:rsidR="004F7F83">
        <w:t xml:space="preserve">  </w:t>
      </w:r>
    </w:p>
    <w:p w14:paraId="3099156C" w14:textId="2A52948C" w:rsidR="004F7F83" w:rsidRDefault="00437871" w:rsidP="00437871">
      <w:pPr>
        <w:pStyle w:val="ListParagraph"/>
        <w:numPr>
          <w:ilvl w:val="0"/>
          <w:numId w:val="9"/>
        </w:numPr>
      </w:pPr>
      <w:r>
        <w:t>CDC. Guidelines for infection control in dental health-care facilities – 2003</w:t>
      </w:r>
      <w:r w:rsidR="004F7F83">
        <w:t>.</w:t>
      </w:r>
      <w:r>
        <w:t xml:space="preserve"> </w:t>
      </w:r>
      <w:hyperlink r:id="rId17" w:history="1">
        <w:r w:rsidR="004F7F83" w:rsidRPr="00351B50">
          <w:rPr>
            <w:rStyle w:val="Hyperlink"/>
          </w:rPr>
          <w:t>www.cdc.gov/mmwr/preview/mmwrhtml/rr5217a1.htm</w:t>
        </w:r>
      </w:hyperlink>
      <w:r w:rsidR="004F7F83">
        <w:t xml:space="preserve">  </w:t>
      </w:r>
    </w:p>
    <w:p w14:paraId="02C82A9D" w14:textId="75CD5220" w:rsidR="00F5429B" w:rsidRDefault="00437871" w:rsidP="00437871">
      <w:pPr>
        <w:pStyle w:val="ListParagraph"/>
        <w:numPr>
          <w:ilvl w:val="0"/>
          <w:numId w:val="9"/>
        </w:numPr>
      </w:pPr>
      <w:r>
        <w:t xml:space="preserve">OSHA. Model Plans and Programs for the OSHA Bloodborne and Hazard Communication Standards. </w:t>
      </w:r>
      <w:hyperlink r:id="rId18" w:history="1">
        <w:r w:rsidR="00F5429B" w:rsidRPr="00351B50">
          <w:rPr>
            <w:rStyle w:val="Hyperlink"/>
          </w:rPr>
          <w:t>www.osha.gov/sites/default/files/publications/osha3186.pdf</w:t>
        </w:r>
      </w:hyperlink>
      <w:r w:rsidR="00F5429B">
        <w:t xml:space="preserve"> </w:t>
      </w:r>
    </w:p>
    <w:p w14:paraId="157965CA" w14:textId="513256F4" w:rsidR="00F5429B" w:rsidRDefault="00437871" w:rsidP="00437871">
      <w:pPr>
        <w:pStyle w:val="ListParagraph"/>
        <w:numPr>
          <w:ilvl w:val="0"/>
          <w:numId w:val="9"/>
        </w:numPr>
      </w:pPr>
      <w:r>
        <w:t>Miller, CH. CDC’s Guidelines for Prevention of Tuberculosis in Dental Settings. In Infection Control and Management of Hazardous Materials for the Dental Team. Elsevier, St. Louis, 5th ed, 2014, Appendix C, pp. 285-287.</w:t>
      </w:r>
    </w:p>
    <w:p w14:paraId="6DD5B29F" w14:textId="77777777" w:rsidR="001C5AA6" w:rsidRDefault="001C5AA6" w:rsidP="001C5AA6">
      <w:pPr>
        <w:pStyle w:val="ListParagraph"/>
      </w:pPr>
    </w:p>
    <w:p w14:paraId="10BD5613" w14:textId="77777777" w:rsidR="001C5AA6" w:rsidRPr="001C5AA6" w:rsidRDefault="001C5AA6" w:rsidP="006A7E50">
      <w:pPr>
        <w:rPr>
          <w:b/>
          <w:bCs/>
          <w:sz w:val="28"/>
          <w:szCs w:val="28"/>
        </w:rPr>
      </w:pPr>
    </w:p>
    <w:p w14:paraId="6E40BBE1" w14:textId="77777777" w:rsidR="001C5AA6" w:rsidRPr="00896706" w:rsidRDefault="001C5AA6" w:rsidP="001C5AA6"/>
    <w:sectPr w:rsidR="001C5AA6" w:rsidRPr="00896706" w:rsidSect="00D4284B">
      <w:pgSz w:w="12240" w:h="15840" w:code="1"/>
      <w:pgMar w:top="720" w:right="720" w:bottom="720" w:left="720" w:header="720" w:footer="5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CC57E" w14:textId="77777777" w:rsidR="00AD7CE2" w:rsidRDefault="00AD7CE2" w:rsidP="001F2F55">
      <w:pPr>
        <w:spacing w:after="0" w:line="240" w:lineRule="auto"/>
      </w:pPr>
      <w:r>
        <w:separator/>
      </w:r>
    </w:p>
  </w:endnote>
  <w:endnote w:type="continuationSeparator" w:id="0">
    <w:p w14:paraId="2982D188" w14:textId="77777777" w:rsidR="00AD7CE2" w:rsidRDefault="00AD7CE2" w:rsidP="001F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BDC89" w14:textId="5CA0E924" w:rsidR="001F2F55" w:rsidRDefault="00D4284B">
    <w:pPr>
      <w:pStyle w:val="Footer"/>
    </w:pPr>
    <w:r>
      <w:t xml:space="preserve">More details at </w:t>
    </w:r>
    <w:hyperlink r:id="rId1" w:history="1">
      <w:r w:rsidR="001F2F55" w:rsidRPr="00351B50">
        <w:rPr>
          <w:rStyle w:val="Hyperlink"/>
        </w:rPr>
        <w:t>osap.org/the-safest-dental-visit</w:t>
      </w:r>
    </w:hyperlink>
    <w:r w:rsidR="001F2F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D6DD3" w14:textId="77777777" w:rsidR="00AD7CE2" w:rsidRDefault="00AD7CE2" w:rsidP="001F2F55">
      <w:pPr>
        <w:spacing w:after="0" w:line="240" w:lineRule="auto"/>
      </w:pPr>
      <w:r>
        <w:separator/>
      </w:r>
    </w:p>
  </w:footnote>
  <w:footnote w:type="continuationSeparator" w:id="0">
    <w:p w14:paraId="3C6D5EE5" w14:textId="77777777" w:rsidR="00AD7CE2" w:rsidRDefault="00AD7CE2" w:rsidP="001F2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D5C50"/>
    <w:multiLevelType w:val="hybridMultilevel"/>
    <w:tmpl w:val="4F3AE0E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CBC3C6C"/>
    <w:multiLevelType w:val="hybridMultilevel"/>
    <w:tmpl w:val="27428C90"/>
    <w:lvl w:ilvl="0" w:tplc="120481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D14DE"/>
    <w:multiLevelType w:val="hybridMultilevel"/>
    <w:tmpl w:val="5D36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B0AFA"/>
    <w:multiLevelType w:val="hybridMultilevel"/>
    <w:tmpl w:val="8368A61C"/>
    <w:lvl w:ilvl="0" w:tplc="1204815A">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31D735B9"/>
    <w:multiLevelType w:val="hybridMultilevel"/>
    <w:tmpl w:val="7086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03C7A"/>
    <w:multiLevelType w:val="hybridMultilevel"/>
    <w:tmpl w:val="8D5EEC5C"/>
    <w:lvl w:ilvl="0" w:tplc="120481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A928A6"/>
    <w:multiLevelType w:val="hybridMultilevel"/>
    <w:tmpl w:val="AF82C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726148"/>
    <w:multiLevelType w:val="hybridMultilevel"/>
    <w:tmpl w:val="85385C26"/>
    <w:lvl w:ilvl="0" w:tplc="120481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BD5704"/>
    <w:multiLevelType w:val="hybridMultilevel"/>
    <w:tmpl w:val="A0D2440A"/>
    <w:lvl w:ilvl="0" w:tplc="1204815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0"/>
  </w:num>
  <w:num w:numId="5">
    <w:abstractNumId w:val="3"/>
  </w:num>
  <w:num w:numId="6">
    <w:abstractNumId w:val="8"/>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MDQyNTM1NjM3NjdX0lEKTi0uzszPAykwrgUA1HctMCwAAAA="/>
  </w:docVars>
  <w:rsids>
    <w:rsidRoot w:val="00460C78"/>
    <w:rsid w:val="00006DC5"/>
    <w:rsid w:val="000F2877"/>
    <w:rsid w:val="001553A4"/>
    <w:rsid w:val="00157969"/>
    <w:rsid w:val="00162922"/>
    <w:rsid w:val="001C5AA6"/>
    <w:rsid w:val="001F2F55"/>
    <w:rsid w:val="002B0CE3"/>
    <w:rsid w:val="002B33E3"/>
    <w:rsid w:val="003D0EBA"/>
    <w:rsid w:val="003F3A10"/>
    <w:rsid w:val="00437871"/>
    <w:rsid w:val="00460C78"/>
    <w:rsid w:val="004F641B"/>
    <w:rsid w:val="004F7F83"/>
    <w:rsid w:val="005933A4"/>
    <w:rsid w:val="00666A4A"/>
    <w:rsid w:val="006A7E50"/>
    <w:rsid w:val="00737353"/>
    <w:rsid w:val="008251B8"/>
    <w:rsid w:val="00896706"/>
    <w:rsid w:val="00900751"/>
    <w:rsid w:val="00964EE7"/>
    <w:rsid w:val="00991A5E"/>
    <w:rsid w:val="00A60388"/>
    <w:rsid w:val="00AB5891"/>
    <w:rsid w:val="00AC5FCB"/>
    <w:rsid w:val="00AD7CE2"/>
    <w:rsid w:val="00B10620"/>
    <w:rsid w:val="00B77427"/>
    <w:rsid w:val="00BB20B3"/>
    <w:rsid w:val="00BB3AC9"/>
    <w:rsid w:val="00BB4B7E"/>
    <w:rsid w:val="00BB6819"/>
    <w:rsid w:val="00C2255E"/>
    <w:rsid w:val="00C87A08"/>
    <w:rsid w:val="00CC00A4"/>
    <w:rsid w:val="00D4284B"/>
    <w:rsid w:val="00E6222C"/>
    <w:rsid w:val="00E6738C"/>
    <w:rsid w:val="00F24CC9"/>
    <w:rsid w:val="00F5429B"/>
    <w:rsid w:val="00FB57B1"/>
    <w:rsid w:val="00FD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99F83"/>
  <w15:chartTrackingRefBased/>
  <w15:docId w15:val="{7EAD7918-86B9-4B52-B3A6-374347D5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C78"/>
    <w:pPr>
      <w:ind w:left="720"/>
      <w:contextualSpacing/>
    </w:pPr>
  </w:style>
  <w:style w:type="table" w:styleId="TableGrid">
    <w:name w:val="Table Grid"/>
    <w:basedOn w:val="TableNormal"/>
    <w:uiPriority w:val="39"/>
    <w:rsid w:val="00460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0C78"/>
    <w:rPr>
      <w:color w:val="0563C1" w:themeColor="hyperlink"/>
      <w:u w:val="single"/>
    </w:rPr>
  </w:style>
  <w:style w:type="character" w:styleId="UnresolvedMention">
    <w:name w:val="Unresolved Mention"/>
    <w:basedOn w:val="DefaultParagraphFont"/>
    <w:uiPriority w:val="99"/>
    <w:semiHidden/>
    <w:unhideWhenUsed/>
    <w:rsid w:val="00460C78"/>
    <w:rPr>
      <w:color w:val="605E5C"/>
      <w:shd w:val="clear" w:color="auto" w:fill="E1DFDD"/>
    </w:rPr>
  </w:style>
  <w:style w:type="paragraph" w:styleId="NoSpacing">
    <w:name w:val="No Spacing"/>
    <w:uiPriority w:val="1"/>
    <w:qFormat/>
    <w:rsid w:val="00460C78"/>
    <w:pPr>
      <w:spacing w:after="0" w:line="240" w:lineRule="auto"/>
    </w:pPr>
  </w:style>
  <w:style w:type="paragraph" w:styleId="Header">
    <w:name w:val="header"/>
    <w:basedOn w:val="Normal"/>
    <w:link w:val="HeaderChar"/>
    <w:uiPriority w:val="99"/>
    <w:unhideWhenUsed/>
    <w:rsid w:val="001F2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F55"/>
  </w:style>
  <w:style w:type="paragraph" w:styleId="Footer">
    <w:name w:val="footer"/>
    <w:basedOn w:val="Normal"/>
    <w:link w:val="FooterChar"/>
    <w:uiPriority w:val="99"/>
    <w:unhideWhenUsed/>
    <w:rsid w:val="001F2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F55"/>
  </w:style>
  <w:style w:type="character" w:styleId="FollowedHyperlink">
    <w:name w:val="FollowedHyperlink"/>
    <w:basedOn w:val="DefaultParagraphFont"/>
    <w:uiPriority w:val="99"/>
    <w:semiHidden/>
    <w:unhideWhenUsed/>
    <w:rsid w:val="004378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ha.gov/SLTC/bloodbornepathogens/index.html" TargetMode="External"/><Relationship Id="rId18" Type="http://schemas.openxmlformats.org/officeDocument/2006/relationships/hyperlink" Target="https://www.osha.gov/sites/default/files/publications/osha318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ha.gov/laws-regs/regulations/standardnumber/1910/1910.1030" TargetMode="External"/><Relationship Id="rId17" Type="http://schemas.openxmlformats.org/officeDocument/2006/relationships/hyperlink" Target="http://www.cdc.gov/mmwr/preview/mmwrhtml/rr5217a1.htm" TargetMode="External"/><Relationship Id="rId2" Type="http://schemas.openxmlformats.org/officeDocument/2006/relationships/numbering" Target="numbering.xml"/><Relationship Id="rId16" Type="http://schemas.openxmlformats.org/officeDocument/2006/relationships/hyperlink" Target="https://www.osha.gov/publication/osha313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ha.gov/laws-regs/regulations/standardnumber/1910/1910.1200" TargetMode="External"/><Relationship Id="rId5" Type="http://schemas.openxmlformats.org/officeDocument/2006/relationships/webSettings" Target="webSettings.xml"/><Relationship Id="rId15" Type="http://schemas.openxmlformats.org/officeDocument/2006/relationships/hyperlink" Target="https://www.osha.gov/law-regs.html" TargetMode="External"/><Relationship Id="rId10" Type="http://schemas.openxmlformats.org/officeDocument/2006/relationships/hyperlink" Target="http://www.ahrq.gov/teamstepps/instructor/fundamentals/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dea.org/uploadedFiles/ADEA/Content_Conversion/events/past_events/BFACA/2013_BFACA/2013_BFACA_STEWART.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osap.org/the-safest-dental-vi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BAA18-5BAD-4962-BCCC-F1E422A8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1437</Words>
  <Characters>8192</Characters>
  <Application>Microsoft Office Word</Application>
  <DocSecurity>0</DocSecurity>
  <Lines>68</Lines>
  <Paragraphs>19</Paragraphs>
  <ScaleCrop>false</ScaleCrop>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MacDermott</dc:creator>
  <cp:keywords/>
  <dc:description/>
  <cp:lastModifiedBy>Ashley MacDermott</cp:lastModifiedBy>
  <cp:revision>42</cp:revision>
  <dcterms:created xsi:type="dcterms:W3CDTF">2021-03-30T18:07:00Z</dcterms:created>
  <dcterms:modified xsi:type="dcterms:W3CDTF">2021-03-30T19:21:00Z</dcterms:modified>
</cp:coreProperties>
</file>